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83B0" w14:textId="77777777" w:rsidR="00612880" w:rsidRPr="00FB4CCB" w:rsidRDefault="00240ED5" w:rsidP="00A45C29">
      <w:pPr>
        <w:spacing w:line="480" w:lineRule="auto"/>
      </w:pPr>
      <w:r w:rsidRPr="00FB4CCB">
        <w:t xml:space="preserve">Hello Folks and welcome back to the </w:t>
      </w:r>
      <w:r w:rsidR="00603910" w:rsidRPr="00FB4CCB">
        <w:t>Good Judge-</w:t>
      </w:r>
      <w:proofErr w:type="spellStart"/>
      <w:r w:rsidR="00603910" w:rsidRPr="00FB4CCB">
        <w:t>Ment</w:t>
      </w:r>
      <w:proofErr w:type="spellEnd"/>
      <w:r w:rsidR="00603910" w:rsidRPr="00FB4CCB">
        <w:t xml:space="preserve"> podcast.  I am Wade Padgett.</w:t>
      </w:r>
    </w:p>
    <w:p w14:paraId="0929C88A" w14:textId="196542F0" w:rsidR="00603910" w:rsidRPr="00FB4CCB" w:rsidRDefault="00603910" w:rsidP="00A45C29">
      <w:pPr>
        <w:spacing w:line="480" w:lineRule="auto"/>
      </w:pPr>
      <w:r w:rsidRPr="00FB4CCB">
        <w:rPr>
          <w:i/>
          <w:iCs/>
        </w:rPr>
        <w:t xml:space="preserve">And I am Tain Kell.  </w:t>
      </w:r>
      <w:r w:rsidR="00934211" w:rsidRPr="00FB4CCB">
        <w:rPr>
          <w:i/>
          <w:iCs/>
        </w:rPr>
        <w:t>Wade, we are back in the Classic City after COVID reared its ugly head and interrupted our recording schedule.</w:t>
      </w:r>
      <w:r w:rsidR="00240ED5" w:rsidRPr="00FB4CCB">
        <w:rPr>
          <w:i/>
          <w:iCs/>
        </w:rPr>
        <w:t xml:space="preserve">  </w:t>
      </w:r>
    </w:p>
    <w:p w14:paraId="750227CD" w14:textId="2122940D" w:rsidR="00065E1F" w:rsidRPr="00FB4CCB" w:rsidRDefault="00934211" w:rsidP="00A45C29">
      <w:pPr>
        <w:spacing w:line="480" w:lineRule="auto"/>
      </w:pPr>
      <w:r w:rsidRPr="00FB4CCB">
        <w:t xml:space="preserve">That’s right – we are FINALLY back in Athens with Mr. Jim </w:t>
      </w:r>
      <w:proofErr w:type="spellStart"/>
      <w:r w:rsidRPr="00FB4CCB">
        <w:t>Henneburger</w:t>
      </w:r>
      <w:proofErr w:type="spellEnd"/>
      <w:r w:rsidRPr="00FB4CCB">
        <w:t xml:space="preserve"> and the wonderful folks at </w:t>
      </w:r>
      <w:r w:rsidR="00D730C5" w:rsidRPr="00FB4CCB">
        <w:t>the UGA Law School.</w:t>
      </w:r>
    </w:p>
    <w:p w14:paraId="726D1E60" w14:textId="7690D6B2" w:rsidR="00065E1F" w:rsidRPr="00FB4CCB" w:rsidRDefault="00D730C5" w:rsidP="00A45C29">
      <w:pPr>
        <w:spacing w:line="480" w:lineRule="auto"/>
        <w:rPr>
          <w:i/>
          <w:iCs/>
        </w:rPr>
      </w:pPr>
      <w:r w:rsidRPr="00FB4CCB">
        <w:rPr>
          <w:i/>
          <w:iCs/>
        </w:rPr>
        <w:t>We had to be our own engineers during the past 18 months or so which we know had mixed results relating to quality of the recordings.  Turner Up could only do so much when we gave him some lemons…  Reminds me of a song [♫Reunited, and it feels so good….]</w:t>
      </w:r>
    </w:p>
    <w:p w14:paraId="7C0D1A49" w14:textId="654475E3" w:rsidR="00D730C5" w:rsidRPr="00FB4CCB" w:rsidRDefault="00D730C5" w:rsidP="00A45C29">
      <w:pPr>
        <w:spacing w:line="480" w:lineRule="auto"/>
      </w:pPr>
      <w:r w:rsidRPr="00FB4CCB">
        <w:t xml:space="preserve">I was thinking more of Tin Lizzy, </w:t>
      </w:r>
      <w:r w:rsidRPr="00FB4CCB">
        <w:rPr>
          <w:i/>
          <w:iCs/>
        </w:rPr>
        <w:t>Boys are Back In Town</w:t>
      </w:r>
      <w:r w:rsidRPr="00FB4CCB">
        <w:t>.</w:t>
      </w:r>
    </w:p>
    <w:p w14:paraId="0E6B69DF" w14:textId="5219611A" w:rsidR="00D730C5" w:rsidRPr="00FB4CCB" w:rsidRDefault="00D730C5" w:rsidP="00A45C29">
      <w:pPr>
        <w:spacing w:line="480" w:lineRule="auto"/>
        <w:rPr>
          <w:i/>
          <w:iCs/>
        </w:rPr>
      </w:pPr>
      <w:r w:rsidRPr="00FB4CCB">
        <w:rPr>
          <w:i/>
          <w:iCs/>
        </w:rPr>
        <w:t xml:space="preserve">Well, anyway, it is great to </w:t>
      </w:r>
      <w:r w:rsidR="002F37ED" w:rsidRPr="00FB4CCB">
        <w:rPr>
          <w:i/>
          <w:iCs/>
        </w:rPr>
        <w:t>get back together in Athens at the place it all began.  Tell the folks what we are discussing today, Wade.</w:t>
      </w:r>
    </w:p>
    <w:p w14:paraId="32AF0FB1" w14:textId="1CCEB273" w:rsidR="002F37ED" w:rsidRPr="00FB4CCB" w:rsidRDefault="002F37ED" w:rsidP="00A45C29">
      <w:pPr>
        <w:spacing w:line="480" w:lineRule="auto"/>
      </w:pPr>
      <w:r w:rsidRPr="00FB4CCB">
        <w:t>Today, we are going to respond to one of our loyal listener requests and discuss Immunity Hearings.  Let’s get started.</w:t>
      </w:r>
    </w:p>
    <w:p w14:paraId="38EF62DF" w14:textId="3EF4F6C5" w:rsidR="00E80449" w:rsidRPr="00FB4CCB" w:rsidRDefault="00E80449" w:rsidP="00A45C29">
      <w:pPr>
        <w:spacing w:line="480" w:lineRule="auto"/>
      </w:pPr>
    </w:p>
    <w:p w14:paraId="7D1489F5" w14:textId="6B8218D9" w:rsidR="006075E5" w:rsidRPr="00FB4CCB" w:rsidRDefault="00D1783A" w:rsidP="00A45C29">
      <w:pPr>
        <w:spacing w:line="480" w:lineRule="auto"/>
      </w:pPr>
      <w:r w:rsidRPr="00FB4CCB">
        <w:pict w14:anchorId="3211B3E6">
          <v:rect id="_x0000_i1026" style="width:0;height:1.5pt" o:hralign="center" o:hrstd="t" o:hr="t" fillcolor="#a0a0a0" stroked="f"/>
        </w:pict>
      </w:r>
    </w:p>
    <w:p w14:paraId="7ADC7D25" w14:textId="3FDE6DAD" w:rsidR="006075E5" w:rsidRPr="00FB4CCB" w:rsidRDefault="002F37ED" w:rsidP="00A45C29">
      <w:pPr>
        <w:spacing w:line="480" w:lineRule="auto"/>
        <w:rPr>
          <w:iCs/>
        </w:rPr>
      </w:pPr>
      <w:r w:rsidRPr="00FB4CCB">
        <w:rPr>
          <w:b/>
          <w:bCs/>
          <w:iCs/>
        </w:rPr>
        <w:lastRenderedPageBreak/>
        <w:t xml:space="preserve">[Wade] – </w:t>
      </w:r>
      <w:r w:rsidRPr="00FB4CCB">
        <w:rPr>
          <w:iCs/>
        </w:rPr>
        <w:t xml:space="preserve">Tain, we have discussed all sorts of topics in this podcast.  </w:t>
      </w:r>
      <w:r w:rsidR="00E95D98" w:rsidRPr="00FB4CCB">
        <w:rPr>
          <w:iCs/>
        </w:rPr>
        <w:t>One of those topics (I think it was one of the episodes) dealt with summary judgment in civil cases.  But Tain, were you aware that in limited circumstances, there is a way for the defendant to essentially ask for summary judgment in civil cases?</w:t>
      </w:r>
    </w:p>
    <w:p w14:paraId="53225D10" w14:textId="36FBE08F" w:rsidR="00E95D98" w:rsidRPr="00FB4CCB" w:rsidRDefault="00E95D98" w:rsidP="00A45C29">
      <w:pPr>
        <w:spacing w:line="480" w:lineRule="auto"/>
        <w:rPr>
          <w:iCs/>
        </w:rPr>
      </w:pPr>
      <w:r w:rsidRPr="00FB4CCB">
        <w:rPr>
          <w:b/>
          <w:bCs/>
          <w:iCs/>
        </w:rPr>
        <w:t>[Tain]</w:t>
      </w:r>
      <w:r w:rsidRPr="00FB4CCB">
        <w:rPr>
          <w:iCs/>
        </w:rPr>
        <w:t xml:space="preserve"> – Now come on, Wade.  We all know that the parties cannot ask for summary judgment in criminal cases.  What in the world are you talking about?</w:t>
      </w:r>
    </w:p>
    <w:p w14:paraId="442B92E9" w14:textId="737F5CC2" w:rsidR="003D7862" w:rsidRPr="00FB4CCB" w:rsidRDefault="00D1783A" w:rsidP="00A45C29">
      <w:pPr>
        <w:spacing w:line="480" w:lineRule="auto"/>
        <w:rPr>
          <w:iCs/>
        </w:rPr>
      </w:pPr>
      <w:r w:rsidRPr="00FB4CCB">
        <w:pict w14:anchorId="3961AEE5">
          <v:rect id="_x0000_i1027" style="width:0;height:1.5pt" o:hralign="center" o:hrstd="t" o:hr="t" fillcolor="#a0a0a0" stroked="f"/>
        </w:pict>
      </w:r>
    </w:p>
    <w:p w14:paraId="416F7DCA" w14:textId="47B37A55" w:rsidR="00E95D98" w:rsidRPr="00FB4CCB" w:rsidRDefault="00E95D98" w:rsidP="00F04D88">
      <w:pPr>
        <w:keepNext/>
        <w:spacing w:line="480" w:lineRule="auto"/>
        <w:jc w:val="center"/>
        <w:rPr>
          <w:b/>
          <w:bCs/>
          <w:iCs/>
        </w:rPr>
      </w:pPr>
      <w:r w:rsidRPr="00FB4CCB">
        <w:rPr>
          <w:b/>
          <w:bCs/>
          <w:iCs/>
        </w:rPr>
        <w:t>IMMUNITY HEARINGS</w:t>
      </w:r>
    </w:p>
    <w:p w14:paraId="4B68EE43" w14:textId="03512DAB" w:rsidR="006A637F" w:rsidRPr="00FB4CCB" w:rsidRDefault="006A637F" w:rsidP="00F04D88">
      <w:pPr>
        <w:keepNext/>
        <w:spacing w:line="480" w:lineRule="auto"/>
        <w:rPr>
          <w:b/>
          <w:bCs/>
          <w:iCs/>
        </w:rPr>
      </w:pPr>
      <w:r w:rsidRPr="00FB4CCB">
        <w:rPr>
          <w:b/>
          <w:bCs/>
          <w:iCs/>
        </w:rPr>
        <w:t>THE RELEVANT STATUTORY LAW</w:t>
      </w:r>
    </w:p>
    <w:p w14:paraId="7F6E3B7F" w14:textId="74DBEC5A" w:rsidR="00122551" w:rsidRPr="00FB4CCB" w:rsidRDefault="00122551" w:rsidP="00A45C29">
      <w:pPr>
        <w:spacing w:line="480" w:lineRule="auto"/>
        <w:rPr>
          <w:iCs/>
        </w:rPr>
      </w:pPr>
      <w:r w:rsidRPr="00FB4CCB">
        <w:rPr>
          <w:iCs/>
        </w:rPr>
        <w:t>Let’s start with some law (we know it is “not awesome” to read law in a podcast)</w:t>
      </w:r>
    </w:p>
    <w:p w14:paraId="6D6E2909" w14:textId="4B02158F" w:rsidR="00E95D98" w:rsidRPr="00FB4CCB" w:rsidRDefault="00E95D98" w:rsidP="00C87CF0">
      <w:pPr>
        <w:spacing w:line="480" w:lineRule="auto"/>
        <w:rPr>
          <w:iCs/>
        </w:rPr>
      </w:pPr>
      <w:r w:rsidRPr="00FB4CCB">
        <w:rPr>
          <w:iCs/>
        </w:rPr>
        <w:t xml:space="preserve">O.C.G.A. § </w:t>
      </w:r>
      <w:r w:rsidR="005E1988" w:rsidRPr="00FB4CCB">
        <w:rPr>
          <w:iCs/>
        </w:rPr>
        <w:t>16-3-21 provides:</w:t>
      </w:r>
    </w:p>
    <w:p w14:paraId="7EBB3B8D" w14:textId="1B6776F3" w:rsidR="005E1988" w:rsidRPr="00FB4CCB" w:rsidRDefault="005E1988" w:rsidP="005E1988">
      <w:pPr>
        <w:pStyle w:val="Legalquote0"/>
      </w:pPr>
      <w:r w:rsidRPr="00FB4CCB">
        <w:t>A person is justified in threatening or using force against another when and to the extent that he or she reasonably believes that such threat or force is necessary to defend himself or herself or a third person against such other's imminent use of unlawful force; however, except as provided in Code Section 16–3–23, a person is justified in using force which is intended or likely to cause death or great bodily harm only if he or she reasonably believes that such force is necessary to prevent death or great bodily injury to himself or herself or a third person or to prevent the commission of a forcible felony.</w:t>
      </w:r>
      <w:r w:rsidRPr="00FB4CCB">
        <w:rPr>
          <w:rStyle w:val="FootnoteReference"/>
        </w:rPr>
        <w:footnoteReference w:id="1"/>
      </w:r>
    </w:p>
    <w:p w14:paraId="6B4B05B7" w14:textId="3B238EED" w:rsidR="00EC3A86" w:rsidRPr="00FB4CCB" w:rsidRDefault="00EC3A86" w:rsidP="00EC3A86">
      <w:pPr>
        <w:spacing w:line="480" w:lineRule="auto"/>
        <w:rPr>
          <w:iCs/>
        </w:rPr>
      </w:pPr>
      <w:r w:rsidRPr="00FB4CCB">
        <w:rPr>
          <w:iCs/>
        </w:rPr>
        <w:lastRenderedPageBreak/>
        <w:t>O.C.G.A. § 16-3-2</w:t>
      </w:r>
      <w:r w:rsidR="00E220E7" w:rsidRPr="00FB4CCB">
        <w:rPr>
          <w:iCs/>
        </w:rPr>
        <w:t>3 and 24</w:t>
      </w:r>
      <w:r w:rsidRPr="00FB4CCB">
        <w:rPr>
          <w:iCs/>
        </w:rPr>
        <w:t xml:space="preserve"> </w:t>
      </w:r>
      <w:r w:rsidR="00E220E7" w:rsidRPr="00FB4CCB">
        <w:rPr>
          <w:iCs/>
        </w:rPr>
        <w:t xml:space="preserve">provide that a person is </w:t>
      </w:r>
      <w:r w:rsidR="009A60C3" w:rsidRPr="00FB4CCB">
        <w:rPr>
          <w:iCs/>
        </w:rPr>
        <w:t>justified in using force</w:t>
      </w:r>
      <w:r w:rsidR="00E220E7" w:rsidRPr="00FB4CCB">
        <w:rPr>
          <w:iCs/>
        </w:rPr>
        <w:t xml:space="preserve"> if he/she used </w:t>
      </w:r>
      <w:r w:rsidR="00E220E7" w:rsidRPr="00FB4CCB">
        <w:rPr>
          <w:iCs/>
          <w:u w:val="single"/>
        </w:rPr>
        <w:t>justifiable force</w:t>
      </w:r>
      <w:r w:rsidR="009A60C3" w:rsidRPr="00FB4CCB">
        <w:rPr>
          <w:iCs/>
        </w:rPr>
        <w:t xml:space="preserve"> </w:t>
      </w:r>
      <w:r w:rsidR="00E220E7" w:rsidRPr="00FB4CCB">
        <w:rPr>
          <w:iCs/>
        </w:rPr>
        <w:t xml:space="preserve">in </w:t>
      </w:r>
      <w:r w:rsidR="005047B8" w:rsidRPr="00FB4CCB">
        <w:rPr>
          <w:iCs/>
        </w:rPr>
        <w:t>defense of a habitation or to prevent trespass or entry upon non-habitation property.</w:t>
      </w:r>
    </w:p>
    <w:p w14:paraId="4712553C" w14:textId="77777777" w:rsidR="00E14AC3" w:rsidRPr="00FB4CCB" w:rsidRDefault="00E14AC3" w:rsidP="00E14AC3">
      <w:pPr>
        <w:spacing w:line="480" w:lineRule="auto"/>
        <w:rPr>
          <w:iCs/>
        </w:rPr>
      </w:pPr>
      <w:r w:rsidRPr="00FB4CCB">
        <w:rPr>
          <w:iCs/>
        </w:rPr>
        <w:t>Interestingly, deadly force is specifically authorized in “self-defense,” and “defense of others” under the specific language of §16-3-21 but the other statutes only reference the use of “force.”  In fact, under §16-3-24 (defense of non-habitation), the statute specifically states that the use of deadly force is generally not authorized</w:t>
      </w:r>
    </w:p>
    <w:p w14:paraId="5E2EDE48" w14:textId="255CB9E9" w:rsidR="00E14AC3" w:rsidRPr="00FB4CCB" w:rsidRDefault="00E14AC3" w:rsidP="00E14AC3">
      <w:pPr>
        <w:spacing w:line="480" w:lineRule="auto"/>
        <w:rPr>
          <w:iCs/>
        </w:rPr>
      </w:pPr>
      <w:r w:rsidRPr="00FB4CCB">
        <w:rPr>
          <w:iCs/>
        </w:rPr>
        <w:t>And we have all become familiar with the “no duty to retreat” law which is codified in Georgia at O.C.G.A. §  16-3-23.1.  (Some refer to this statute as the “stand your ground” law)</w:t>
      </w:r>
    </w:p>
    <w:p w14:paraId="74898592" w14:textId="158ABFD9" w:rsidR="00E14AC3" w:rsidRPr="00FB4CCB" w:rsidRDefault="00E14AC3" w:rsidP="00EC3A86">
      <w:pPr>
        <w:spacing w:line="480" w:lineRule="auto"/>
      </w:pPr>
      <w:r w:rsidRPr="00FB4CCB">
        <w:pict w14:anchorId="0BC9C7B5">
          <v:rect id="_x0000_i1048" style="width:0;height:1.5pt" o:hralign="center" o:hrstd="t" o:hr="t" fillcolor="#a0a0a0" stroked="f"/>
        </w:pict>
      </w:r>
    </w:p>
    <w:p w14:paraId="19CAF5BD" w14:textId="4884F1E0" w:rsidR="002B001F" w:rsidRPr="00FB4CCB" w:rsidRDefault="002B001F" w:rsidP="00EC3A86">
      <w:pPr>
        <w:spacing w:line="480" w:lineRule="auto"/>
        <w:rPr>
          <w:iCs/>
        </w:rPr>
      </w:pPr>
    </w:p>
    <w:p w14:paraId="1044AD97" w14:textId="60E7E405" w:rsidR="00122551" w:rsidRPr="00FB4CCB" w:rsidRDefault="00122551" w:rsidP="00EC3A86">
      <w:pPr>
        <w:spacing w:line="480" w:lineRule="auto"/>
        <w:rPr>
          <w:iCs/>
        </w:rPr>
      </w:pPr>
    </w:p>
    <w:p w14:paraId="1C64561F" w14:textId="141BD2E1" w:rsidR="009A60C3" w:rsidRPr="00FB4CCB" w:rsidRDefault="009A60C3" w:rsidP="00EC3A86">
      <w:pPr>
        <w:spacing w:line="480" w:lineRule="auto"/>
      </w:pPr>
      <w:r w:rsidRPr="00FB4CCB">
        <w:pict w14:anchorId="7A8D26F1">
          <v:rect id="_x0000_i1036" style="width:0;height:1.5pt" o:hralign="center" o:hrstd="t" o:hr="t" fillcolor="#a0a0a0" stroked="f"/>
        </w:pict>
      </w:r>
    </w:p>
    <w:p w14:paraId="69ACC223" w14:textId="1EEE31A9" w:rsidR="005E1988" w:rsidRPr="00FB4CCB" w:rsidRDefault="005E1988" w:rsidP="00EC3A86">
      <w:pPr>
        <w:spacing w:line="480" w:lineRule="auto"/>
      </w:pPr>
      <w:r w:rsidRPr="00FB4CCB">
        <w:t xml:space="preserve">So where a defendant claims </w:t>
      </w:r>
      <w:r w:rsidR="00EC3A86" w:rsidRPr="00FB4CCB">
        <w:t xml:space="preserve">“justification” as a defense, he/she can seek to have a pretrial hearing to determine if he/she is “immune” from prosecution.  </w:t>
      </w:r>
    </w:p>
    <w:p w14:paraId="32F3E003" w14:textId="318B205B" w:rsidR="00EC3A86" w:rsidRPr="00FB4CCB" w:rsidRDefault="00EC3A86" w:rsidP="00EC3A86">
      <w:pPr>
        <w:spacing w:line="480" w:lineRule="auto"/>
      </w:pPr>
      <w:r w:rsidRPr="00FB4CCB">
        <w:lastRenderedPageBreak/>
        <w:t>Although other people may refer to these hearings under other names, we are going to refer to these hearings as “immunity hearings” for the remainder of this episode</w:t>
      </w:r>
      <w:r w:rsidR="002B001F" w:rsidRPr="00FB4CCB">
        <w:t>.</w:t>
      </w:r>
    </w:p>
    <w:p w14:paraId="41651C39" w14:textId="27EC5AC8" w:rsidR="002B001F" w:rsidRPr="00FB4CCB" w:rsidRDefault="002B001F" w:rsidP="00EC3A86">
      <w:pPr>
        <w:spacing w:line="480" w:lineRule="auto"/>
      </w:pPr>
      <w:r w:rsidRPr="00FB4CCB">
        <w:pict w14:anchorId="179DAA45">
          <v:rect id="_x0000_i1037" style="width:0;height:1.5pt" o:hralign="center" o:hrstd="t" o:hr="t" fillcolor="#a0a0a0" stroked="f"/>
        </w:pict>
      </w:r>
    </w:p>
    <w:p w14:paraId="5EABC542" w14:textId="1FBD996C" w:rsidR="006A637F" w:rsidRPr="00FB4CCB" w:rsidRDefault="006A637F" w:rsidP="00F04D88">
      <w:pPr>
        <w:keepNext/>
        <w:spacing w:line="480" w:lineRule="auto"/>
        <w:rPr>
          <w:u w:val="single"/>
        </w:rPr>
      </w:pPr>
      <w:r w:rsidRPr="00FB4CCB">
        <w:rPr>
          <w:b/>
          <w:bCs/>
        </w:rPr>
        <w:t>FILING THE MOTION</w:t>
      </w:r>
    </w:p>
    <w:p w14:paraId="3163719D" w14:textId="68EDEE10" w:rsidR="002B001F" w:rsidRPr="00FB4CCB" w:rsidRDefault="002B001F" w:rsidP="00EC3A86">
      <w:pPr>
        <w:spacing w:line="480" w:lineRule="auto"/>
      </w:pPr>
      <w:r w:rsidRPr="00FB4CCB">
        <w:t>So how, exactly, would a defendant raise a claim of immunity?  First, they need to file a motion.</w:t>
      </w:r>
      <w:r w:rsidR="001E6167">
        <w:t xml:space="preserve">  </w:t>
      </w:r>
    </w:p>
    <w:p w14:paraId="5325A83F" w14:textId="3A187ADB" w:rsidR="002F672E" w:rsidRPr="00FB4CCB" w:rsidRDefault="002F672E" w:rsidP="00EC3A86">
      <w:pPr>
        <w:spacing w:line="480" w:lineRule="auto"/>
      </w:pPr>
      <w:r w:rsidRPr="00FB4CCB">
        <w:t>“</w:t>
      </w:r>
      <w:r w:rsidRPr="00FB4CCB">
        <w:t>Although nothing in the language of OCGA § 16-3-24.2 requires an immunity motion to be filed pretrial, such motions are generally made before trial because a grant of immunity terminates a criminal prosecution. And we have held that a trial court errs when it refuses to consider before trial an immunity motion that was filed before trial.</w:t>
      </w:r>
      <w:r w:rsidRPr="00FB4CCB">
        <w:t>”</w:t>
      </w:r>
      <w:r w:rsidRPr="00FB4CCB">
        <w:rPr>
          <w:rStyle w:val="FootnoteReference"/>
        </w:rPr>
        <w:footnoteReference w:id="2"/>
      </w:r>
    </w:p>
    <w:p w14:paraId="582E0184" w14:textId="5834011E" w:rsidR="00951783" w:rsidRPr="00FB4CCB" w:rsidRDefault="00951783" w:rsidP="00EC3A86">
      <w:pPr>
        <w:spacing w:line="480" w:lineRule="auto"/>
      </w:pPr>
      <w:r w:rsidRPr="00FB4CCB">
        <w:t>So if a mistrial is granted or a motion for new trial is granted, the defendant can file (for the first time) an immunity motion.</w:t>
      </w:r>
      <w:r w:rsidRPr="00FB4CCB">
        <w:rPr>
          <w:rStyle w:val="FootnoteReference"/>
        </w:rPr>
        <w:footnoteReference w:id="3"/>
      </w:r>
    </w:p>
    <w:p w14:paraId="2E3177FB" w14:textId="768766D3" w:rsidR="002B001F" w:rsidRDefault="002B001F" w:rsidP="00EC3A86">
      <w:pPr>
        <w:spacing w:line="480" w:lineRule="auto"/>
      </w:pPr>
      <w:r w:rsidRPr="00FB4CCB">
        <w:lastRenderedPageBreak/>
        <w:t xml:space="preserve">If a motion is made for an immunity hearing, the trial court must </w:t>
      </w:r>
      <w:r w:rsidR="006A637F" w:rsidRPr="00FB4CCB">
        <w:t>conduct a pretrial hearing to hear evidence and decide whether the defendant is actually immune from prosecution.</w:t>
      </w:r>
      <w:r w:rsidR="006A637F" w:rsidRPr="00FB4CCB">
        <w:rPr>
          <w:rStyle w:val="FootnoteReference"/>
        </w:rPr>
        <w:footnoteReference w:id="4"/>
      </w:r>
    </w:p>
    <w:p w14:paraId="4380A417" w14:textId="28100072" w:rsidR="0004300C" w:rsidRDefault="0004300C" w:rsidP="00EC3A86">
      <w:pPr>
        <w:spacing w:line="480" w:lineRule="auto"/>
      </w:pPr>
      <w:r>
        <w:t>If the defendant fails to request a ruling (or a hearing) on the motion, any objection to the failure to conduct the required pretrial ruling is waived.</w:t>
      </w:r>
      <w:r>
        <w:rPr>
          <w:rStyle w:val="FootnoteReference"/>
        </w:rPr>
        <w:footnoteReference w:id="5"/>
      </w:r>
    </w:p>
    <w:p w14:paraId="08EDCA9E" w14:textId="3F916CD1" w:rsidR="0082104C" w:rsidRPr="00FB4CCB" w:rsidRDefault="0082104C" w:rsidP="00EC3A86">
      <w:pPr>
        <w:spacing w:line="480" w:lineRule="auto"/>
      </w:pPr>
      <w:r>
        <w:t>While these motions are frequently filed in homicide cases, the statue is equally applicable to other types of crimes (i.e. domestic violence charges).</w:t>
      </w:r>
      <w:r>
        <w:rPr>
          <w:rStyle w:val="FootnoteReference"/>
        </w:rPr>
        <w:footnoteReference w:id="6"/>
      </w:r>
    </w:p>
    <w:p w14:paraId="1E704EBA" w14:textId="5A51B612" w:rsidR="00C71010" w:rsidRPr="00FB4CCB" w:rsidRDefault="00C71010" w:rsidP="00EC3A86">
      <w:pPr>
        <w:spacing w:line="480" w:lineRule="auto"/>
      </w:pPr>
      <w:r w:rsidRPr="00FB4CCB">
        <w:pict w14:anchorId="1077C62A">
          <v:rect id="_x0000_i1044" style="width:0;height:1.5pt" o:hralign="center" o:hrstd="t" o:hr="t" fillcolor="#a0a0a0" stroked="f"/>
        </w:pict>
      </w:r>
    </w:p>
    <w:p w14:paraId="0BC2BA0B" w14:textId="6B5C3422" w:rsidR="00C71010" w:rsidRPr="00FB4CCB" w:rsidRDefault="00C71010" w:rsidP="00F04D88">
      <w:pPr>
        <w:keepNext/>
        <w:spacing w:line="480" w:lineRule="auto"/>
      </w:pPr>
      <w:r w:rsidRPr="00FB4CCB">
        <w:rPr>
          <w:b/>
          <w:bCs/>
        </w:rPr>
        <w:t>CONDUCTING THE IMMUNITY HEARING</w:t>
      </w:r>
    </w:p>
    <w:p w14:paraId="39F15983" w14:textId="77777777" w:rsidR="00C71010" w:rsidRPr="00FB4CCB" w:rsidRDefault="00C71010" w:rsidP="00EC3A86">
      <w:pPr>
        <w:spacing w:line="480" w:lineRule="auto"/>
      </w:pPr>
      <w:r w:rsidRPr="00FB4CCB">
        <w:t xml:space="preserve">The issue of immunity is one for the judge and not a jury.  </w:t>
      </w:r>
    </w:p>
    <w:p w14:paraId="5940C196" w14:textId="24FF7F69" w:rsidR="00C71010" w:rsidRPr="00FB4CCB" w:rsidRDefault="00C71010" w:rsidP="00EC3A86">
      <w:pPr>
        <w:spacing w:line="480" w:lineRule="auto"/>
      </w:pPr>
      <w:r w:rsidRPr="00FB4CCB">
        <w:t>The burden is on the defendant to prove by a preponderance of the evidence that he is immune from prosecution.</w:t>
      </w:r>
      <w:r w:rsidRPr="00FB4CCB">
        <w:rPr>
          <w:rStyle w:val="FootnoteReference"/>
        </w:rPr>
        <w:footnoteReference w:id="7"/>
      </w:r>
      <w:r w:rsidRPr="00FB4CCB">
        <w:rPr>
          <w:rStyle w:val="FootnoteReference"/>
        </w:rPr>
        <w:t xml:space="preserve"> </w:t>
      </w:r>
    </w:p>
    <w:p w14:paraId="78C79FCE" w14:textId="0AFE7476" w:rsidR="007213E9" w:rsidRDefault="007213E9" w:rsidP="00EC3A86">
      <w:pPr>
        <w:spacing w:line="480" w:lineRule="auto"/>
      </w:pPr>
      <w:r w:rsidRPr="00FB4CCB">
        <w:lastRenderedPageBreak/>
        <w:t>Because the burden is on the defendant, he/she is required to present the evidence necessary to sustain his/her burden – so the</w:t>
      </w:r>
      <w:r w:rsidR="000B794A">
        <w:t xml:space="preserve"> defendant goes</w:t>
      </w:r>
      <w:r w:rsidRPr="00FB4CCB">
        <w:t xml:space="preserve"> first!</w:t>
      </w:r>
    </w:p>
    <w:p w14:paraId="5EC6855F" w14:textId="08026245" w:rsidR="00424A01" w:rsidRPr="00FB4CCB" w:rsidRDefault="00424A01" w:rsidP="00EC3A86">
      <w:pPr>
        <w:spacing w:line="480" w:lineRule="auto"/>
      </w:pPr>
      <w:r>
        <w:t>An immunity hearing seems like a mini trial and it is – only the defendant proceeds first and calls witnesses of his choosing.</w:t>
      </w:r>
    </w:p>
    <w:p w14:paraId="15E12562" w14:textId="2951A3EE" w:rsidR="00C71010" w:rsidRPr="00FB4CCB" w:rsidRDefault="00C71010" w:rsidP="00EC3A86">
      <w:pPr>
        <w:spacing w:line="480" w:lineRule="auto"/>
      </w:pPr>
      <w:r w:rsidRPr="00FB4CCB">
        <w:t>If the court decides that the defendant has met his/her burden of proof, the case is over (at least as to that charge</w:t>
      </w:r>
      <w:r w:rsidR="00424A01">
        <w:t>(s)</w:t>
      </w:r>
      <w:r w:rsidRPr="00FB4CCB">
        <w:t xml:space="preserve">).  </w:t>
      </w:r>
    </w:p>
    <w:p w14:paraId="4B48E6C0" w14:textId="2063E0C7" w:rsidR="00C71010" w:rsidRPr="00FB4CCB" w:rsidRDefault="00C71010" w:rsidP="00EC3A86">
      <w:pPr>
        <w:spacing w:line="480" w:lineRule="auto"/>
      </w:pPr>
      <w:r w:rsidRPr="00FB4CCB">
        <w:t>Conflicts in the evidence are to be resolved by the trial court and there is no requirement that the evidence all point one way or the other.</w:t>
      </w:r>
      <w:r w:rsidRPr="00FB4CCB">
        <w:rPr>
          <w:rStyle w:val="FootnoteReference"/>
        </w:rPr>
        <w:footnoteReference w:id="8"/>
      </w:r>
    </w:p>
    <w:p w14:paraId="32B308B0" w14:textId="608E778C" w:rsidR="00F04D88" w:rsidRPr="00FB4CCB" w:rsidRDefault="00F04D88" w:rsidP="00EC3A86">
      <w:pPr>
        <w:spacing w:line="480" w:lineRule="auto"/>
      </w:pPr>
      <w:r w:rsidRPr="00FB4CCB">
        <w:t>If there are multiple defendants, the court must make an immunity determination individually and not collectively.</w:t>
      </w:r>
      <w:r w:rsidRPr="00FB4CCB">
        <w:rPr>
          <w:rStyle w:val="FootnoteReference"/>
        </w:rPr>
        <w:footnoteReference w:id="9"/>
      </w:r>
    </w:p>
    <w:p w14:paraId="548D25BA" w14:textId="60BA8E72" w:rsidR="0049104C" w:rsidRPr="00FB4CCB" w:rsidRDefault="0049104C" w:rsidP="00EC3A86">
      <w:pPr>
        <w:spacing w:line="480" w:lineRule="auto"/>
      </w:pPr>
      <w:r w:rsidRPr="00FB4CCB">
        <w:t>Remember, a defendant cannot lawfully use force if he/she was the aggressor.</w:t>
      </w:r>
      <w:r w:rsidRPr="00FB4CCB">
        <w:rPr>
          <w:rStyle w:val="FootnoteReference"/>
        </w:rPr>
        <w:footnoteReference w:id="10"/>
      </w:r>
    </w:p>
    <w:p w14:paraId="3D42C0CC" w14:textId="2DAD0CC6" w:rsidR="00BF7933" w:rsidRPr="00FB4CCB" w:rsidRDefault="00BF7933" w:rsidP="00EC3A86">
      <w:pPr>
        <w:spacing w:line="480" w:lineRule="auto"/>
      </w:pPr>
      <w:r w:rsidRPr="00FB4CCB">
        <w:pict w14:anchorId="5C8A3F05">
          <v:rect id="_x0000_i1046" style="width:0;height:1.5pt" o:hralign="center" o:hrstd="t" o:hr="t" fillcolor="#a0a0a0" stroked="f"/>
        </w:pict>
      </w:r>
    </w:p>
    <w:p w14:paraId="62CFD687" w14:textId="01A478A8" w:rsidR="00BF7933" w:rsidRPr="00FB4CCB" w:rsidRDefault="00BF7933" w:rsidP="00F04D88">
      <w:pPr>
        <w:keepNext/>
        <w:spacing w:line="480" w:lineRule="auto"/>
      </w:pPr>
      <w:r w:rsidRPr="00FB4CCB">
        <w:rPr>
          <w:b/>
          <w:bCs/>
        </w:rPr>
        <w:lastRenderedPageBreak/>
        <w:t>THE DIFFERENCE BETWEEN “IMMUNITY” AND “JUSTIFICATION”</w:t>
      </w:r>
    </w:p>
    <w:p w14:paraId="1DB58074" w14:textId="48EC7DDB" w:rsidR="00BF7933" w:rsidRPr="00FB4CCB" w:rsidRDefault="00BF7933" w:rsidP="00EC3A86">
      <w:pPr>
        <w:spacing w:line="480" w:lineRule="auto"/>
      </w:pPr>
      <w:r w:rsidRPr="00FB4CCB">
        <w:t>Although they seem to be similar if not identical concepts, there is A PROFOUND difference between “immunity from prosecution” and “justification.”</w:t>
      </w:r>
    </w:p>
    <w:p w14:paraId="33A5234F" w14:textId="2B2B80A3" w:rsidR="00BF7933" w:rsidRPr="00FB4CCB" w:rsidRDefault="00BF7933" w:rsidP="00EC3A86">
      <w:pPr>
        <w:spacing w:line="480" w:lineRule="auto"/>
      </w:pPr>
      <w:r w:rsidRPr="00FB4CCB">
        <w:t>The justification statutes can be found in O.C.G.A. § 16-3-20.</w:t>
      </w:r>
    </w:p>
    <w:p w14:paraId="4F85F183" w14:textId="2BDA9FCC" w:rsidR="00D54556" w:rsidRPr="00FB4CCB" w:rsidRDefault="00D54556" w:rsidP="00EC3A86">
      <w:pPr>
        <w:spacing w:line="480" w:lineRule="auto"/>
      </w:pPr>
      <w:r w:rsidRPr="00FB4CCB">
        <w:t xml:space="preserve">Note that is a different code section from </w:t>
      </w:r>
      <w:r w:rsidRPr="00FB4CCB">
        <w:rPr>
          <w:iCs/>
        </w:rPr>
        <w:t>§</w:t>
      </w:r>
      <w:r w:rsidRPr="00FB4CCB">
        <w:t xml:space="preserve"> 16-3-24.2 </w:t>
      </w:r>
      <w:r w:rsidR="007B1A76">
        <w:t xml:space="preserve">(immunity statute) </w:t>
      </w:r>
      <w:r w:rsidRPr="00FB4CCB">
        <w:t>and that difference is important to understand</w:t>
      </w:r>
      <w:r w:rsidR="00F04D88" w:rsidRPr="00FB4CCB">
        <w:t>.</w:t>
      </w:r>
    </w:p>
    <w:p w14:paraId="44629963" w14:textId="523BA74E" w:rsidR="00F04D88" w:rsidRDefault="00F04D88" w:rsidP="00EC3A86">
      <w:pPr>
        <w:spacing w:line="480" w:lineRule="auto"/>
      </w:pPr>
      <w:r w:rsidRPr="00FB4CCB">
        <w:t>A defendant can be justified in the use of force (jury determination) but possibly not immune from prosecution as a matter of law (judge determination).</w:t>
      </w:r>
    </w:p>
    <w:p w14:paraId="558E44E9" w14:textId="27787129" w:rsidR="00834E7F" w:rsidRPr="00FB4CCB" w:rsidRDefault="00834E7F" w:rsidP="00834E7F">
      <w:pPr>
        <w:pStyle w:val="Legalquote0"/>
      </w:pPr>
      <w:r w:rsidRPr="00834E7F">
        <w:t>“An affirmative defense is different than a plea of immunity.  If a defendant can prevail prior to trial on the basis of immunity, then that ends the case.  An affirmative defense may be raised during trial but it will not prevent a trial from going to verdict.”</w:t>
      </w:r>
      <w:r w:rsidRPr="00834E7F">
        <w:rPr>
          <w:rStyle w:val="FootnoteReference"/>
        </w:rPr>
        <w:footnoteReference w:id="11"/>
      </w:r>
    </w:p>
    <w:p w14:paraId="029D37D5" w14:textId="46836158" w:rsidR="00AC66DB" w:rsidRPr="00FB4CCB" w:rsidRDefault="00AC66DB" w:rsidP="00EC3A86">
      <w:pPr>
        <w:spacing w:line="480" w:lineRule="auto"/>
      </w:pPr>
      <w:r w:rsidRPr="00FB4CCB">
        <w:t xml:space="preserve">In essence, if there is an analysis of the </w:t>
      </w:r>
      <w:r w:rsidR="00137C80" w:rsidRPr="00FB4CCB">
        <w:t>“</w:t>
      </w:r>
      <w:r w:rsidRPr="00FB4CCB">
        <w:t>reasonableness”</w:t>
      </w:r>
      <w:r w:rsidR="00137C80" w:rsidRPr="00FB4CCB">
        <w:t xml:space="preserve"> of a use of force, you are generally discussing justification under </w:t>
      </w:r>
      <w:r w:rsidR="00137C80" w:rsidRPr="00FB4CCB">
        <w:rPr>
          <w:iCs/>
        </w:rPr>
        <w:t>§</w:t>
      </w:r>
      <w:r w:rsidR="00137C80" w:rsidRPr="00FB4CCB">
        <w:t xml:space="preserve">16-13-20.  </w:t>
      </w:r>
      <w:r w:rsidR="00834E7F">
        <w:t>That is a trial determination.</w:t>
      </w:r>
    </w:p>
    <w:p w14:paraId="4BAA572D" w14:textId="40CAF32F" w:rsidR="00137C80" w:rsidRPr="00FB4CCB" w:rsidRDefault="00137C80" w:rsidP="00EC3A86">
      <w:pPr>
        <w:spacing w:line="480" w:lineRule="auto"/>
      </w:pPr>
      <w:r w:rsidRPr="00FB4CCB">
        <w:t>By comparison, in an immunity claim, the only “reasonableness” discussion deals with the reasonableness of the perception that the use of force was appropriate.  NOT the reasonableness of the amount of force used.</w:t>
      </w:r>
      <w:r w:rsidRPr="00FB4CCB">
        <w:rPr>
          <w:rStyle w:val="FootnoteReference"/>
        </w:rPr>
        <w:footnoteReference w:id="12"/>
      </w:r>
      <w:r w:rsidRPr="00FB4CCB">
        <w:t xml:space="preserve">  If you find yourself </w:t>
      </w:r>
      <w:r w:rsidRPr="00FB4CCB">
        <w:lastRenderedPageBreak/>
        <w:t>considering the proportionality of the force being used, a claim of immunity should be denied.</w:t>
      </w:r>
      <w:r w:rsidR="00E43CA3" w:rsidRPr="00FB4CCB">
        <w:rPr>
          <w:rStyle w:val="FootnoteReference"/>
        </w:rPr>
        <w:footnoteReference w:id="13"/>
      </w:r>
    </w:p>
    <w:p w14:paraId="44E03475" w14:textId="2E4A3CDC" w:rsidR="00E43CA3" w:rsidRDefault="00E43CA3" w:rsidP="00EC3A86">
      <w:pPr>
        <w:spacing w:line="480" w:lineRule="auto"/>
      </w:pPr>
      <w:r w:rsidRPr="00FB4CCB">
        <w:t xml:space="preserve">As set forth in </w:t>
      </w:r>
      <w:r w:rsidRPr="00FB4CCB">
        <w:rPr>
          <w:i/>
          <w:iCs/>
        </w:rPr>
        <w:t>Copeland</w:t>
      </w:r>
      <w:r w:rsidRPr="00FB4CCB">
        <w:t>, “O.C.G.A. §  24.2 requires an analysis of the threat or force needed by the [defendants] to reasonably defend against such threat or force rather than a consideration of the proportionality or reasonability of the [defendants’] conduct in the fulfillment of their duties.”</w:t>
      </w:r>
    </w:p>
    <w:p w14:paraId="710D8EC6" w14:textId="3B1091A6" w:rsidR="007B1A76" w:rsidRDefault="007B1A76" w:rsidP="00EC3A86">
      <w:pPr>
        <w:spacing w:line="480" w:lineRule="auto"/>
      </w:pPr>
      <w:r w:rsidRPr="00FB4CCB">
        <w:pict w14:anchorId="46D1BF99">
          <v:rect id="_x0000_i1062" style="width:0;height:1.5pt" o:hralign="center" o:hrstd="t" o:hr="t" fillcolor="#a0a0a0" stroked="f"/>
        </w:pict>
      </w:r>
    </w:p>
    <w:p w14:paraId="05B07024" w14:textId="2FBA106C" w:rsidR="007B1A76" w:rsidRPr="007B1A76" w:rsidRDefault="007B1A76" w:rsidP="007B1A76">
      <w:pPr>
        <w:keepNext/>
        <w:spacing w:line="480" w:lineRule="auto"/>
        <w:rPr>
          <w:b/>
          <w:bCs/>
        </w:rPr>
      </w:pPr>
      <w:r>
        <w:rPr>
          <w:b/>
          <w:bCs/>
        </w:rPr>
        <w:t>IMPACT OF RULING ON THE IMMUNITY CLAIM</w:t>
      </w:r>
    </w:p>
    <w:p w14:paraId="0C4AFE69" w14:textId="67CF00EC" w:rsidR="00834E7F" w:rsidRDefault="00834E7F" w:rsidP="00EC3A86">
      <w:pPr>
        <w:spacing w:line="480" w:lineRule="auto"/>
      </w:pPr>
      <w:r w:rsidRPr="00834E7F">
        <w:t>A defendant who was unsuccessful at the immunity hearing may raise the affirmative defense of justification at trial.  The burden then shifts to the State to disprove justification beyond a reasonable doubt.</w:t>
      </w:r>
      <w:r w:rsidRPr="007B1A76">
        <w:rPr>
          <w:rStyle w:val="FootnoteReference"/>
        </w:rPr>
        <w:footnoteReference w:id="14"/>
      </w:r>
    </w:p>
    <w:p w14:paraId="442D17FB" w14:textId="77777777" w:rsidR="00A31745" w:rsidRDefault="007B1A76" w:rsidP="00EC3A86">
      <w:pPr>
        <w:spacing w:line="480" w:lineRule="auto"/>
      </w:pPr>
      <w:r w:rsidRPr="007B1A76">
        <w:t>The defendant may seek interlocutory review of a trial court’s denial of the justification immunity.</w:t>
      </w:r>
      <w:r w:rsidRPr="007B1A76">
        <w:rPr>
          <w:rStyle w:val="FootnoteReference"/>
        </w:rPr>
        <w:footnoteReference w:id="15"/>
      </w:r>
      <w:r w:rsidRPr="007B1A76">
        <w:t xml:space="preserve">  </w:t>
      </w:r>
    </w:p>
    <w:p w14:paraId="0B633E9F" w14:textId="79B231CA" w:rsidR="007B1A76" w:rsidRDefault="007B1A76" w:rsidP="00EC3A86">
      <w:pPr>
        <w:spacing w:line="480" w:lineRule="auto"/>
      </w:pPr>
      <w:r w:rsidRPr="007B1A76">
        <w:lastRenderedPageBreak/>
        <w:t>The trial court may reconsider the matter following trial even where the motion was initially denied.</w:t>
      </w:r>
      <w:r w:rsidRPr="007B1A76">
        <w:rPr>
          <w:rStyle w:val="FootnoteReference"/>
        </w:rPr>
        <w:footnoteReference w:id="16"/>
      </w:r>
    </w:p>
    <w:p w14:paraId="184AFACA" w14:textId="7A4D53CB" w:rsidR="00E60132" w:rsidRPr="00FB4CCB" w:rsidRDefault="00E60132" w:rsidP="00EC3A86">
      <w:pPr>
        <w:spacing w:line="480" w:lineRule="auto"/>
      </w:pPr>
      <w:r w:rsidRPr="00E60132">
        <w:t>Georgia law once held that a defendant claiming the defense of justification had to essentially admit all of the elements of the crime with the exception of intent.  So if a defendant denied being present or denied having a weapon, he/she could not claim self-defense.  That is no longer the law.</w:t>
      </w:r>
      <w:r w:rsidRPr="00E60132">
        <w:rPr>
          <w:rStyle w:val="FootnoteReference"/>
        </w:rPr>
        <w:footnoteReference w:id="17"/>
      </w:r>
    </w:p>
    <w:p w14:paraId="42D4B6A7" w14:textId="5F2E27E9" w:rsidR="00E14AC3" w:rsidRPr="00FB4CCB" w:rsidRDefault="00E14AC3" w:rsidP="00EC3A86">
      <w:pPr>
        <w:spacing w:line="480" w:lineRule="auto"/>
      </w:pPr>
      <w:r w:rsidRPr="00FB4CCB">
        <w:pict w14:anchorId="73E8D2C6">
          <v:rect id="_x0000_i1050" style="width:0;height:1.5pt" o:hralign="center" o:hrstd="t" o:hr="t" fillcolor="#a0a0a0" stroked="f"/>
        </w:pict>
      </w:r>
    </w:p>
    <w:p w14:paraId="08BE0657" w14:textId="3104F774" w:rsidR="00E14AC3" w:rsidRPr="00FB4CCB" w:rsidRDefault="00E14AC3" w:rsidP="00E14AC3">
      <w:pPr>
        <w:keepNext/>
        <w:spacing w:line="480" w:lineRule="auto"/>
        <w:jc w:val="center"/>
        <w:rPr>
          <w:b/>
          <w:bCs/>
        </w:rPr>
      </w:pPr>
      <w:r w:rsidRPr="00FB4CCB">
        <w:rPr>
          <w:b/>
          <w:bCs/>
        </w:rPr>
        <w:t>UNIQUE ISSUES IN IMMUNITY CASES</w:t>
      </w:r>
    </w:p>
    <w:p w14:paraId="5FB2A990" w14:textId="77777777" w:rsidR="00E14AC3" w:rsidRPr="00FB4CCB" w:rsidRDefault="00E14AC3" w:rsidP="00E14AC3">
      <w:pPr>
        <w:keepNext/>
        <w:spacing w:line="480" w:lineRule="auto"/>
        <w:rPr>
          <w:b/>
          <w:bCs/>
          <w:iCs/>
        </w:rPr>
      </w:pPr>
      <w:r w:rsidRPr="00FB4CCB">
        <w:rPr>
          <w:b/>
          <w:bCs/>
        </w:rPr>
        <w:t>THE “CONVICTED FELON PROBLEM”</w:t>
      </w:r>
    </w:p>
    <w:p w14:paraId="641FF338" w14:textId="753B6CA3" w:rsidR="00E14AC3" w:rsidRPr="00FB4CCB" w:rsidRDefault="00E14AC3" w:rsidP="00E14AC3">
      <w:pPr>
        <w:spacing w:line="480" w:lineRule="auto"/>
        <w:rPr>
          <w:iCs/>
        </w:rPr>
      </w:pPr>
      <w:r w:rsidRPr="00FB4CCB">
        <w:rPr>
          <w:iCs/>
        </w:rPr>
        <w:t>O.C.G.A. §  16-3-24.2 provides that a person using justifiable force is “immune from prosecution” UNLESS, that person is not authorized to carry or possess a firearm “under Part 2 of Article 4 of Chapter 11 of this title”</w:t>
      </w:r>
      <w:r w:rsidR="001E6167">
        <w:rPr>
          <w:iCs/>
        </w:rPr>
        <w:t xml:space="preserve">  </w:t>
      </w:r>
    </w:p>
    <w:p w14:paraId="38C2997D" w14:textId="77777777" w:rsidR="00E14AC3" w:rsidRPr="00FB4CCB" w:rsidRDefault="00E14AC3" w:rsidP="00103890">
      <w:pPr>
        <w:spacing w:line="480" w:lineRule="auto"/>
        <w:ind w:left="720"/>
        <w:rPr>
          <w:iCs/>
        </w:rPr>
      </w:pPr>
      <w:r w:rsidRPr="00FB4CCB">
        <w:rPr>
          <w:iCs/>
        </w:rPr>
        <w:t>[</w:t>
      </w:r>
      <w:r w:rsidRPr="00FB4CCB">
        <w:rPr>
          <w:i/>
        </w:rPr>
        <w:t>Hate it when they do not reference the “O.C.G.A. §” and, instead, use “article __ of title ___” language</w:t>
      </w:r>
      <w:r w:rsidRPr="00FB4CCB">
        <w:rPr>
          <w:iCs/>
        </w:rPr>
        <w:t>]</w:t>
      </w:r>
    </w:p>
    <w:p w14:paraId="1C872AB4" w14:textId="442422ED" w:rsidR="00E14AC3" w:rsidRPr="00FB4CCB" w:rsidRDefault="00E14AC3" w:rsidP="00E14AC3">
      <w:pPr>
        <w:spacing w:line="480" w:lineRule="auto"/>
        <w:rPr>
          <w:iCs/>
        </w:rPr>
      </w:pPr>
      <w:r w:rsidRPr="00FB4CCB">
        <w:rPr>
          <w:iCs/>
        </w:rPr>
        <w:lastRenderedPageBreak/>
        <w:t>But here, that makes a HUGE difference.  Because the legislature changed the statutory language to remove “Part 2 and 3” of Article 4 of Chapter 11 and replace it with only “Part 2.”</w:t>
      </w:r>
      <w:r w:rsidRPr="00FB4CCB">
        <w:rPr>
          <w:rStyle w:val="FootnoteReference"/>
          <w:iCs/>
        </w:rPr>
        <w:footnoteReference w:id="18"/>
      </w:r>
      <w:r w:rsidRPr="00FB4CCB">
        <w:rPr>
          <w:iCs/>
        </w:rPr>
        <w:t xml:space="preserve"> </w:t>
      </w:r>
      <w:r w:rsidRPr="00FB4CCB">
        <w:rPr>
          <w:rStyle w:val="FootnoteReference"/>
          <w:iCs/>
        </w:rPr>
        <w:footnoteReference w:id="19"/>
      </w:r>
    </w:p>
    <w:p w14:paraId="395CC80C" w14:textId="5A3826A8" w:rsidR="00FB4CCB" w:rsidRPr="00FB4CCB" w:rsidRDefault="00FB4CCB" w:rsidP="00E14AC3">
      <w:pPr>
        <w:spacing w:line="480" w:lineRule="auto"/>
        <w:rPr>
          <w:iCs/>
        </w:rPr>
      </w:pPr>
      <w:r w:rsidRPr="00FB4CCB">
        <w:rPr>
          <w:iCs/>
        </w:rPr>
        <w:t>Also, if the defendant was a convicted felon, first offender, etc. when the weapon was possessed, please see O.C.G.A. §  16-11-138.  “</w:t>
      </w:r>
      <w:r w:rsidRPr="00FB4CCB">
        <w:rPr>
          <w:iCs/>
        </w:rPr>
        <w:t>Defense of self or others, as contemplated by and provided for under Article 2 of Chapter 3 of this title, shall be an absolute defense to any violation under this part.</w:t>
      </w:r>
      <w:r w:rsidRPr="00FB4CCB">
        <w:rPr>
          <w:iCs/>
        </w:rPr>
        <w:t>”</w:t>
      </w:r>
    </w:p>
    <w:p w14:paraId="087DEA26" w14:textId="77777777" w:rsidR="00E14AC3" w:rsidRPr="00FB4CCB" w:rsidRDefault="00E14AC3" w:rsidP="00E14AC3">
      <w:pPr>
        <w:spacing w:line="480" w:lineRule="auto"/>
        <w:rPr>
          <w:iCs/>
        </w:rPr>
      </w:pPr>
      <w:r w:rsidRPr="00FB4CCB">
        <w:rPr>
          <w:iCs/>
        </w:rPr>
        <w:t>That means that if a defendant is a convicted felon, he/she can raise an immunity claim to a charge under § 16-11-131 provided the weapon used was not illegal.</w:t>
      </w:r>
    </w:p>
    <w:p w14:paraId="2695E659" w14:textId="330497AD" w:rsidR="00E14AC3" w:rsidRPr="00FB4CCB" w:rsidRDefault="00E14AC3" w:rsidP="00103890">
      <w:pPr>
        <w:spacing w:line="480" w:lineRule="auto"/>
        <w:ind w:left="720"/>
        <w:rPr>
          <w:iCs/>
        </w:rPr>
      </w:pPr>
      <w:r w:rsidRPr="00FB4CCB">
        <w:rPr>
          <w:iCs/>
        </w:rPr>
        <w:t>[</w:t>
      </w:r>
      <w:r w:rsidRPr="00FB4CCB">
        <w:rPr>
          <w:i/>
        </w:rPr>
        <w:t>I frequently have defendants who are convicted felons claim that they had to defend themselves in an attempt to avoid a “possession of a firearm by a convicted felon” charge.  That claim is absolutely allowed under the current</w:t>
      </w:r>
      <w:r w:rsidR="00103890" w:rsidRPr="00FB4CCB">
        <w:rPr>
          <w:i/>
        </w:rPr>
        <w:t xml:space="preserve"> </w:t>
      </w:r>
      <w:r w:rsidRPr="00FB4CCB">
        <w:rPr>
          <w:i/>
        </w:rPr>
        <w:t>version of the statute</w:t>
      </w:r>
      <w:r w:rsidR="00834E7F">
        <w:rPr>
          <w:i/>
        </w:rPr>
        <w:t xml:space="preserve"> following the 2014 change</w:t>
      </w:r>
      <w:r w:rsidRPr="00FB4CCB">
        <w:rPr>
          <w:i/>
        </w:rPr>
        <w:t>.</w:t>
      </w:r>
      <w:r w:rsidRPr="00FB4CCB">
        <w:rPr>
          <w:iCs/>
        </w:rPr>
        <w:t>]</w:t>
      </w:r>
    </w:p>
    <w:p w14:paraId="797A5B9A" w14:textId="50FBDE11" w:rsidR="00503A43" w:rsidRDefault="00103890" w:rsidP="00103890">
      <w:pPr>
        <w:spacing w:line="480" w:lineRule="auto"/>
      </w:pPr>
      <w:r w:rsidRPr="00FB4CCB">
        <w:rPr>
          <w:iCs/>
        </w:rPr>
        <w:t xml:space="preserve">Not to get too “in the weeds” with the convicted felon claiming immunity issue, but if a convicted felon reasonably believes that such threat or force is necessary to </w:t>
      </w:r>
      <w:r w:rsidRPr="00FB4CCB">
        <w:rPr>
          <w:iCs/>
        </w:rPr>
        <w:lastRenderedPageBreak/>
        <w:t>defend himself/herself or a 3</w:t>
      </w:r>
      <w:r w:rsidRPr="00FB4CCB">
        <w:rPr>
          <w:iCs/>
          <w:vertAlign w:val="superscript"/>
        </w:rPr>
        <w:t>rd</w:t>
      </w:r>
      <w:r w:rsidRPr="00FB4CCB">
        <w:rPr>
          <w:iCs/>
        </w:rPr>
        <w:t xml:space="preserve"> person against another’s imminent </w:t>
      </w:r>
      <w:r w:rsidR="00F60A9F" w:rsidRPr="00FB4CCB">
        <w:rPr>
          <w:iCs/>
        </w:rPr>
        <w:t xml:space="preserve">use </w:t>
      </w:r>
      <w:r w:rsidRPr="00FB4CCB">
        <w:rPr>
          <w:iCs/>
        </w:rPr>
        <w:t xml:space="preserve">of unlawful force, </w:t>
      </w:r>
      <w:r w:rsidR="00F60A9F" w:rsidRPr="00FB4CCB">
        <w:rPr>
          <w:iCs/>
        </w:rPr>
        <w:t>that convicted felon can claim immunity under the current version of the statute.</w:t>
      </w:r>
      <w:r w:rsidR="00F60A9F" w:rsidRPr="00FB4CCB">
        <w:rPr>
          <w:rStyle w:val="FootnoteReference"/>
          <w:iCs/>
        </w:rPr>
        <w:footnoteReference w:id="20"/>
      </w:r>
      <w:r w:rsidR="00503A43" w:rsidRPr="00FB4CCB">
        <w:pict w14:anchorId="5E3FE80B">
          <v:rect id="_x0000_i1064" style="width:0;height:1.5pt" o:hralign="center" o:hrstd="t" o:hr="t" fillcolor="#a0a0a0" stroked="f"/>
        </w:pict>
      </w:r>
    </w:p>
    <w:p w14:paraId="18C0E646" w14:textId="3F4A64B0" w:rsidR="00503A43" w:rsidRDefault="00503A43" w:rsidP="00103890">
      <w:pPr>
        <w:spacing w:line="480" w:lineRule="auto"/>
      </w:pPr>
      <w:r>
        <w:rPr>
          <w:b/>
          <w:bCs/>
        </w:rPr>
        <w:t xml:space="preserve">JURY CHARGES IN </w:t>
      </w:r>
      <w:r w:rsidR="00410699">
        <w:rPr>
          <w:b/>
          <w:bCs/>
        </w:rPr>
        <w:t>EVENTUAL</w:t>
      </w:r>
      <w:r>
        <w:rPr>
          <w:b/>
          <w:bCs/>
        </w:rPr>
        <w:t xml:space="preserve"> TRIAL</w:t>
      </w:r>
    </w:p>
    <w:p w14:paraId="61FDF7CE" w14:textId="034BB8D5" w:rsidR="00424A01" w:rsidRPr="00424A01" w:rsidRDefault="00424A01" w:rsidP="00103890">
      <w:pPr>
        <w:spacing w:line="480" w:lineRule="auto"/>
      </w:pPr>
      <w:r>
        <w:rPr>
          <w:b/>
          <w:bCs/>
          <w:i/>
          <w:iCs/>
        </w:rPr>
        <w:t>Assuming the hearing was conducted and denied…</w:t>
      </w:r>
    </w:p>
    <w:p w14:paraId="1422CE5D" w14:textId="69830259" w:rsidR="00410699" w:rsidRDefault="00503A43" w:rsidP="00103890">
      <w:pPr>
        <w:spacing w:line="480" w:lineRule="auto"/>
      </w:pPr>
      <w:r>
        <w:t xml:space="preserve">In </w:t>
      </w:r>
      <w:r>
        <w:rPr>
          <w:i/>
          <w:iCs/>
        </w:rPr>
        <w:t>Campbell v. State</w:t>
      </w:r>
      <w:r>
        <w:t xml:space="preserve">, </w:t>
      </w:r>
      <w:r w:rsidR="004E1F35">
        <w:t xml:space="preserve">297 Ga. App. 387 (2009), the defendant filed a motion for a pretrial immunity hearing.  The trial court ruled on the motion without conducting the hearing. </w:t>
      </w:r>
      <w:r w:rsidR="00410699">
        <w:t>[</w:t>
      </w:r>
      <w:r w:rsidR="00410699">
        <w:rPr>
          <w:i/>
          <w:iCs/>
        </w:rPr>
        <w:t>We discussed this case above when discussing a potential “waiver” of the immunity hearing</w:t>
      </w:r>
      <w:r w:rsidR="00410699">
        <w:t>]</w:t>
      </w:r>
    </w:p>
    <w:p w14:paraId="766F724D" w14:textId="16537E95" w:rsidR="00503A43" w:rsidRDefault="004E1F35" w:rsidP="00103890">
      <w:pPr>
        <w:spacing w:line="480" w:lineRule="auto"/>
      </w:pPr>
      <w:r>
        <w:t xml:space="preserve">Instead of insisting on the hearing (which is </w:t>
      </w:r>
      <w:r>
        <w:rPr>
          <w:b/>
          <w:bCs/>
          <w:i/>
          <w:iCs/>
        </w:rPr>
        <w:t xml:space="preserve">absolutely </w:t>
      </w:r>
      <w:r>
        <w:t>required), defense counsel immediately changed the course of his/her arguments.  In response to the ruling without a hearing, counsel told the trial judge, “</w:t>
      </w:r>
      <w:r w:rsidRPr="004E1F35">
        <w:t xml:space="preserve">the case law holds clearly that [the trial court] must tell me before the trial whether or not I'm going to be entitled to an instruction on the immunity statute,” and he did not argue that </w:t>
      </w:r>
      <w:r>
        <w:t>[defendant]</w:t>
      </w:r>
      <w:r w:rsidRPr="004E1F35">
        <w:t xml:space="preserve"> was entitled to a hearing on his motion.</w:t>
      </w:r>
      <w:r>
        <w:t>”</w:t>
      </w:r>
      <w:r>
        <w:rPr>
          <w:rStyle w:val="FootnoteReference"/>
        </w:rPr>
        <w:footnoteReference w:id="21"/>
      </w:r>
    </w:p>
    <w:p w14:paraId="77752E53" w14:textId="33165A7F" w:rsidR="00E95D98" w:rsidRPr="00FB4CCB" w:rsidRDefault="00D5793A" w:rsidP="00A45C29">
      <w:pPr>
        <w:spacing w:line="480" w:lineRule="auto"/>
        <w:rPr>
          <w:iCs/>
        </w:rPr>
      </w:pPr>
      <w:r>
        <w:lastRenderedPageBreak/>
        <w:t xml:space="preserve">As to </w:t>
      </w:r>
      <w:r>
        <w:rPr>
          <w:i/>
          <w:iCs/>
        </w:rPr>
        <w:t>Campbell’s</w:t>
      </w:r>
      <w:r>
        <w:t xml:space="preserve"> requested charge on immunity, the appellate court held that immunity is a matter of law for the trial judge to consider and, therefore, it is error to charge the jury on the immunity statute.  To be clear, the appellate court was NOT considering a requested justification charge (which would assumably be applicable).  Instead, there was a request for a jury charge on immunity and the appellate court held the trial court correctly refused that requested charge because immunity from prosecution was not a matter for the jury to consider.</w:t>
      </w:r>
    </w:p>
    <w:p w14:paraId="5C1B7A7E" w14:textId="0BD14C9F" w:rsidR="00C5403F" w:rsidRPr="00FB4CCB" w:rsidRDefault="00D1783A" w:rsidP="00A45C29">
      <w:pPr>
        <w:spacing w:line="480" w:lineRule="auto"/>
      </w:pPr>
      <w:r w:rsidRPr="00FB4CCB">
        <w:pict w14:anchorId="7F23F1AC">
          <v:rect id="_x0000_i1028" style="width:0;height:1.5pt" o:hralign="center" o:hrstd="t" o:hr="t" fillcolor="#a0a0a0" stroked="f"/>
        </w:pict>
      </w:r>
    </w:p>
    <w:p w14:paraId="2C54512F" w14:textId="4A0DBBFF" w:rsidR="00DD0E7E" w:rsidRDefault="009B44A4" w:rsidP="00503A43">
      <w:pPr>
        <w:spacing w:line="480" w:lineRule="auto"/>
      </w:pPr>
      <w:r w:rsidRPr="00FB4CCB">
        <w:t>Thank you for listening to the Good Judge-</w:t>
      </w:r>
      <w:proofErr w:type="spellStart"/>
      <w:r w:rsidRPr="00FB4CCB">
        <w:t>Ment</w:t>
      </w:r>
      <w:proofErr w:type="spellEnd"/>
      <w:r w:rsidRPr="00FB4CCB">
        <w:t xml:space="preserve"> Podcast.  </w:t>
      </w:r>
    </w:p>
    <w:p w14:paraId="0BF203FA" w14:textId="07EA84A7" w:rsidR="003C63B0" w:rsidRPr="003C63B0" w:rsidRDefault="003C63B0" w:rsidP="00503A43">
      <w:pPr>
        <w:spacing w:line="480" w:lineRule="auto"/>
        <w:rPr>
          <w:i/>
          <w:iCs/>
        </w:rPr>
      </w:pPr>
      <w:r>
        <w:rPr>
          <w:i/>
          <w:iCs/>
        </w:rPr>
        <w:t xml:space="preserve">Remember that if an immunity hearing is requested, the trial court must conduct a pretrial hearing unless the defendant waives </w:t>
      </w:r>
      <w:r w:rsidR="00503A43">
        <w:rPr>
          <w:i/>
          <w:iCs/>
        </w:rPr>
        <w:t>the request</w:t>
      </w:r>
      <w:r w:rsidR="00410699">
        <w:rPr>
          <w:i/>
          <w:iCs/>
        </w:rPr>
        <w:t>, either an express waiver or a waiver through conduct</w:t>
      </w:r>
      <w:r w:rsidR="00503A43">
        <w:rPr>
          <w:i/>
          <w:iCs/>
        </w:rPr>
        <w:t xml:space="preserve">.  Yes, </w:t>
      </w:r>
      <w:r w:rsidR="00410699">
        <w:rPr>
          <w:i/>
          <w:iCs/>
        </w:rPr>
        <w:t>conducting the hearing</w:t>
      </w:r>
      <w:r w:rsidR="00503A43">
        <w:rPr>
          <w:i/>
          <w:iCs/>
        </w:rPr>
        <w:t xml:space="preserve"> will inconvenience everyone involved in the process, it may delay a trial date, it may seem to act as a duplication of effort if the trial proceeds</w:t>
      </w:r>
      <w:r w:rsidR="00410699">
        <w:rPr>
          <w:i/>
          <w:iCs/>
        </w:rPr>
        <w:t xml:space="preserve"> – all of those realities are true</w:t>
      </w:r>
      <w:r w:rsidR="00503A43">
        <w:rPr>
          <w:i/>
          <w:iCs/>
        </w:rPr>
        <w:t>.  Regardless, the cases are all clear that if a hearing is requested, the court must conduct the hearing.</w:t>
      </w:r>
    </w:p>
    <w:p w14:paraId="34787D9D" w14:textId="2C32B2C2" w:rsidR="001E5C7E" w:rsidRPr="00FB4CCB" w:rsidRDefault="003C63B0" w:rsidP="00503A43">
      <w:pPr>
        <w:spacing w:line="480" w:lineRule="auto"/>
      </w:pPr>
      <w:r>
        <w:t xml:space="preserve">This episode was created in response to a specific request by a listener who </w:t>
      </w:r>
      <w:r w:rsidR="00424A01">
        <w:t xml:space="preserve">reached out to </w:t>
      </w:r>
      <w:r>
        <w:t xml:space="preserve">us at </w:t>
      </w:r>
      <w:r w:rsidRPr="00424A01">
        <w:t>goodjudgepod@gmail.com</w:t>
      </w:r>
      <w:r>
        <w:t xml:space="preserve"> (Thanks for the idea Woody).</w:t>
      </w:r>
    </w:p>
    <w:p w14:paraId="055D4277" w14:textId="53728D07" w:rsidR="001E5C7E" w:rsidRPr="00FB4CCB" w:rsidRDefault="003C63B0" w:rsidP="00503A43">
      <w:pPr>
        <w:spacing w:line="480" w:lineRule="auto"/>
        <w:rPr>
          <w:i/>
          <w:iCs/>
        </w:rPr>
      </w:pPr>
      <w:r>
        <w:rPr>
          <w:i/>
          <w:iCs/>
        </w:rPr>
        <w:lastRenderedPageBreak/>
        <w:t>You, too, can have these two yahoos discuss an issue you want us to discuss but we cannot read your mind.  So send us an e-mail at goodjudgepod@gmail.com.</w:t>
      </w:r>
    </w:p>
    <w:p w14:paraId="39BB4793" w14:textId="3A184AD7" w:rsidR="009A0744" w:rsidRPr="00FB4CCB" w:rsidRDefault="0088054E" w:rsidP="00503A43">
      <w:pPr>
        <w:spacing w:line="480" w:lineRule="auto"/>
      </w:pPr>
      <w:r w:rsidRPr="00FB4CCB">
        <w:t>You can visit our website, goodjudgepod.com</w:t>
      </w:r>
      <w:r w:rsidR="00424A01">
        <w:t xml:space="preserve">, </w:t>
      </w:r>
      <w:r w:rsidRPr="00FB4CCB">
        <w:t>for the episode notes from this and all other episodes.</w:t>
      </w:r>
      <w:r w:rsidR="00632116" w:rsidRPr="00FB4CCB">
        <w:rPr>
          <w:i/>
          <w:iCs/>
        </w:rPr>
        <w:t xml:space="preserve">  </w:t>
      </w:r>
    </w:p>
    <w:p w14:paraId="5D21E449" w14:textId="13AA79AF" w:rsidR="00C53771" w:rsidRPr="00FB4CCB" w:rsidRDefault="003E554B" w:rsidP="00503A43">
      <w:pPr>
        <w:spacing w:line="480" w:lineRule="auto"/>
      </w:pPr>
      <w:r w:rsidRPr="00FB4CCB">
        <w:rPr>
          <w:i/>
          <w:iCs/>
        </w:rPr>
        <w:t>Again, thanks for listening to the Good Judge-</w:t>
      </w:r>
      <w:proofErr w:type="spellStart"/>
      <w:r w:rsidRPr="00FB4CCB">
        <w:rPr>
          <w:i/>
          <w:iCs/>
        </w:rPr>
        <w:t>Ment</w:t>
      </w:r>
      <w:proofErr w:type="spellEnd"/>
      <w:r w:rsidRPr="00FB4CCB">
        <w:rPr>
          <w:i/>
          <w:iCs/>
        </w:rPr>
        <w:t xml:space="preserve"> Podcast.  And remember</w:t>
      </w:r>
      <w:r w:rsidR="00C53771" w:rsidRPr="00FB4CCB">
        <w:rPr>
          <w:i/>
          <w:iCs/>
        </w:rPr>
        <w:t>…</w:t>
      </w:r>
      <w:r w:rsidR="00C53771" w:rsidRPr="00FB4CCB">
        <w:tab/>
      </w:r>
    </w:p>
    <w:sectPr w:rsidR="00C53771" w:rsidRPr="00FB4CCB">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3BEF" w14:textId="77777777" w:rsidR="00D1783A" w:rsidRDefault="00D1783A" w:rsidP="00A45391">
      <w:pPr>
        <w:spacing w:after="0" w:line="240" w:lineRule="auto"/>
      </w:pPr>
      <w:r>
        <w:separator/>
      </w:r>
    </w:p>
  </w:endnote>
  <w:endnote w:type="continuationSeparator" w:id="0">
    <w:p w14:paraId="6A669C8C" w14:textId="77777777" w:rsidR="00D1783A" w:rsidRDefault="00D1783A" w:rsidP="00A4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1D7E" w14:textId="77777777" w:rsidR="00A45C29" w:rsidRDefault="00A45C29" w:rsidP="00C527D7">
    <w:pPr>
      <w:pStyle w:val="Footer"/>
      <w:tabs>
        <w:tab w:val="clear" w:pos="4680"/>
        <w:tab w:val="clear" w:pos="9360"/>
      </w:tabs>
      <w:jc w:val="center"/>
      <w:rPr>
        <w:b/>
        <w:bCs/>
        <w:sz w:val="20"/>
        <w:szCs w:val="20"/>
      </w:rPr>
    </w:pPr>
  </w:p>
  <w:p w14:paraId="17A31DA7" w14:textId="43633622" w:rsidR="00A45C29" w:rsidRDefault="004F0794" w:rsidP="00C527D7">
    <w:pPr>
      <w:pStyle w:val="Footer"/>
      <w:tabs>
        <w:tab w:val="clear" w:pos="4680"/>
        <w:tab w:val="clear" w:pos="9360"/>
      </w:tabs>
      <w:jc w:val="center"/>
      <w:rPr>
        <w:b/>
        <w:bCs/>
        <w:sz w:val="20"/>
        <w:szCs w:val="20"/>
      </w:rPr>
    </w:pPr>
    <w:r>
      <w:rPr>
        <w:b/>
        <w:bCs/>
        <w:sz w:val="20"/>
        <w:szCs w:val="20"/>
      </w:rPr>
      <w:t xml:space="preserve"> </w:t>
    </w:r>
    <w:r w:rsidR="00A45C29">
      <w:rPr>
        <w:b/>
        <w:bCs/>
        <w:sz w:val="20"/>
        <w:szCs w:val="20"/>
      </w:rPr>
      <w:t xml:space="preserve"> Episode Notes</w:t>
    </w:r>
    <w:r w:rsidR="00FE016A">
      <w:rPr>
        <w:b/>
        <w:bCs/>
        <w:sz w:val="20"/>
        <w:szCs w:val="20"/>
      </w:rPr>
      <w:t>-</w:t>
    </w:r>
    <w:r w:rsidR="002F37ED">
      <w:rPr>
        <w:b/>
        <w:bCs/>
        <w:sz w:val="20"/>
        <w:szCs w:val="20"/>
      </w:rPr>
      <w:t>IMMUNITY HEARINGS</w:t>
    </w:r>
  </w:p>
  <w:p w14:paraId="67B54FF4" w14:textId="43C8011C" w:rsidR="00A45C29" w:rsidRPr="00DB0007" w:rsidRDefault="00A45C29" w:rsidP="00C527D7">
    <w:pPr>
      <w:pStyle w:val="Footer"/>
      <w:tabs>
        <w:tab w:val="clear" w:pos="4680"/>
        <w:tab w:val="clear" w:pos="9360"/>
      </w:tabs>
      <w:jc w:val="center"/>
      <w:rPr>
        <w:b/>
        <w:bCs/>
        <w:sz w:val="20"/>
        <w:szCs w:val="20"/>
      </w:rPr>
    </w:pPr>
    <w:r>
      <w:rPr>
        <w:b/>
        <w:bCs/>
        <w:sz w:val="20"/>
        <w:szCs w:val="20"/>
      </w:rPr>
      <w:t xml:space="preserve">Recording date </w:t>
    </w:r>
    <w:r w:rsidR="002F37ED">
      <w:rPr>
        <w:b/>
        <w:bCs/>
        <w:sz w:val="20"/>
        <w:szCs w:val="20"/>
      </w:rPr>
      <w:t>7</w:t>
    </w:r>
    <w:r w:rsidR="00FE016A">
      <w:rPr>
        <w:b/>
        <w:bCs/>
        <w:sz w:val="20"/>
        <w:szCs w:val="20"/>
      </w:rPr>
      <w:t>/</w:t>
    </w:r>
    <w:r w:rsidR="002F37ED">
      <w:rPr>
        <w:b/>
        <w:bCs/>
        <w:sz w:val="20"/>
        <w:szCs w:val="20"/>
      </w:rPr>
      <w:t>7</w:t>
    </w:r>
    <w:r w:rsidR="00FE016A">
      <w:rPr>
        <w:b/>
        <w:bCs/>
        <w:sz w:val="20"/>
        <w:szCs w:val="20"/>
      </w:rPr>
      <w:t>/2021</w:t>
    </w:r>
  </w:p>
  <w:p w14:paraId="31C93E00" w14:textId="77777777" w:rsidR="00A45C29" w:rsidRDefault="00A45C29" w:rsidP="00C527D7">
    <w:pPr>
      <w:pStyle w:val="Footer"/>
      <w:jc w:val="center"/>
    </w:pPr>
    <w:r w:rsidRPr="00DB0007">
      <w:rPr>
        <w:b/>
        <w:bCs/>
        <w:sz w:val="20"/>
        <w:szCs w:val="20"/>
      </w:rPr>
      <w:t xml:space="preserve">Page </w:t>
    </w:r>
    <w:r w:rsidRPr="00DB0007">
      <w:rPr>
        <w:b/>
        <w:bCs/>
        <w:sz w:val="20"/>
        <w:szCs w:val="20"/>
      </w:rPr>
      <w:fldChar w:fldCharType="begin"/>
    </w:r>
    <w:r w:rsidRPr="00DB0007">
      <w:rPr>
        <w:b/>
        <w:bCs/>
        <w:sz w:val="20"/>
        <w:szCs w:val="20"/>
      </w:rPr>
      <w:instrText xml:space="preserve"> PAGE  \* Arabic  \* MERGEFORMAT </w:instrText>
    </w:r>
    <w:r w:rsidRPr="00DB0007">
      <w:rPr>
        <w:b/>
        <w:bCs/>
        <w:sz w:val="20"/>
        <w:szCs w:val="20"/>
      </w:rPr>
      <w:fldChar w:fldCharType="separate"/>
    </w:r>
    <w:r>
      <w:rPr>
        <w:b/>
        <w:bCs/>
        <w:sz w:val="20"/>
        <w:szCs w:val="20"/>
      </w:rPr>
      <w:t>5</w:t>
    </w:r>
    <w:r w:rsidRPr="00DB0007">
      <w:rPr>
        <w:b/>
        <w:bCs/>
        <w:sz w:val="20"/>
        <w:szCs w:val="20"/>
      </w:rPr>
      <w:fldChar w:fldCharType="end"/>
    </w:r>
    <w:r w:rsidRPr="00DB0007">
      <w:rPr>
        <w:b/>
        <w:bCs/>
        <w:sz w:val="20"/>
        <w:szCs w:val="20"/>
      </w:rPr>
      <w:t xml:space="preserve"> of </w:t>
    </w:r>
    <w:r w:rsidRPr="00DB0007">
      <w:rPr>
        <w:b/>
        <w:bCs/>
        <w:sz w:val="20"/>
        <w:szCs w:val="20"/>
      </w:rPr>
      <w:fldChar w:fldCharType="begin"/>
    </w:r>
    <w:r w:rsidRPr="00DB0007">
      <w:rPr>
        <w:b/>
        <w:bCs/>
        <w:sz w:val="20"/>
        <w:szCs w:val="20"/>
      </w:rPr>
      <w:instrText xml:space="preserve"> NUMPAGES  \* Arabic  \* MERGEFORMAT </w:instrText>
    </w:r>
    <w:r w:rsidRPr="00DB0007">
      <w:rPr>
        <w:b/>
        <w:bCs/>
        <w:sz w:val="20"/>
        <w:szCs w:val="20"/>
      </w:rPr>
      <w:fldChar w:fldCharType="separate"/>
    </w:r>
    <w:r>
      <w:rPr>
        <w:b/>
        <w:bCs/>
        <w:sz w:val="20"/>
        <w:szCs w:val="20"/>
      </w:rPr>
      <w:t>8</w:t>
    </w:r>
    <w:r w:rsidRPr="00DB0007">
      <w:rPr>
        <w:b/>
        <w:bCs/>
        <w:sz w:val="20"/>
        <w:szCs w:val="20"/>
      </w:rPr>
      <w:fldChar w:fldCharType="end"/>
    </w:r>
  </w:p>
  <w:p w14:paraId="105C513B" w14:textId="77777777" w:rsidR="00A45C29" w:rsidRDefault="00A45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4914" w14:textId="77777777" w:rsidR="00D1783A" w:rsidRDefault="00D1783A" w:rsidP="00A45391">
      <w:pPr>
        <w:spacing w:after="0" w:line="240" w:lineRule="auto"/>
      </w:pPr>
      <w:r>
        <w:separator/>
      </w:r>
    </w:p>
  </w:footnote>
  <w:footnote w:type="continuationSeparator" w:id="0">
    <w:p w14:paraId="4851CC88" w14:textId="77777777" w:rsidR="00D1783A" w:rsidRDefault="00D1783A" w:rsidP="00A45391">
      <w:pPr>
        <w:spacing w:after="0" w:line="240" w:lineRule="auto"/>
      </w:pPr>
      <w:r>
        <w:continuationSeparator/>
      </w:r>
    </w:p>
  </w:footnote>
  <w:footnote w:id="1">
    <w:p w14:paraId="6FE88449" w14:textId="77777777" w:rsidR="005E1988" w:rsidRDefault="005E1988" w:rsidP="005E1988">
      <w:pPr>
        <w:pStyle w:val="FootnoteText"/>
      </w:pPr>
      <w:r>
        <w:rPr>
          <w:rStyle w:val="FootnoteReference"/>
        </w:rPr>
        <w:footnoteRef/>
      </w:r>
      <w:r>
        <w:t xml:space="preserve"> </w:t>
      </w:r>
      <w:r>
        <w:rPr>
          <w:i/>
        </w:rPr>
        <w:t>State v. Jennings</w:t>
      </w:r>
      <w:r>
        <w:t>, 337 Ga. App. 164, 166-167 (2016).</w:t>
      </w:r>
    </w:p>
  </w:footnote>
  <w:footnote w:id="2">
    <w:p w14:paraId="6325840F" w14:textId="3B64F259" w:rsidR="002F672E" w:rsidRDefault="002F672E">
      <w:pPr>
        <w:pStyle w:val="FootnoteText"/>
      </w:pPr>
      <w:r>
        <w:rPr>
          <w:rStyle w:val="FootnoteReference"/>
        </w:rPr>
        <w:footnoteRef/>
      </w:r>
      <w:r>
        <w:t xml:space="preserve"> </w:t>
      </w:r>
      <w:r>
        <w:rPr>
          <w:i/>
          <w:iCs/>
        </w:rPr>
        <w:t>State v. Remy</w:t>
      </w:r>
      <w:r>
        <w:t>, 308 Ga. 296, 297 (2020).</w:t>
      </w:r>
    </w:p>
  </w:footnote>
  <w:footnote w:id="3">
    <w:p w14:paraId="5E1BB19D" w14:textId="40C0E67C" w:rsidR="00951783" w:rsidRPr="00951783" w:rsidRDefault="00951783">
      <w:pPr>
        <w:pStyle w:val="FootnoteText"/>
      </w:pPr>
      <w:r>
        <w:rPr>
          <w:rStyle w:val="FootnoteReference"/>
        </w:rPr>
        <w:footnoteRef/>
      </w:r>
      <w:r>
        <w:t xml:space="preserve"> </w:t>
      </w:r>
      <w:r>
        <w:rPr>
          <w:i/>
          <w:iCs/>
        </w:rPr>
        <w:t>State v. Remy</w:t>
      </w:r>
      <w:r>
        <w:t>, 308 Ga. 296, 297</w:t>
      </w:r>
      <w:r>
        <w:t>-298</w:t>
      </w:r>
      <w:r>
        <w:t xml:space="preserve"> (2020)</w:t>
      </w:r>
      <w:r>
        <w:t xml:space="preserve">, citing </w:t>
      </w:r>
      <w:r>
        <w:rPr>
          <w:i/>
          <w:iCs/>
        </w:rPr>
        <w:t>State v. Hamilton</w:t>
      </w:r>
      <w:r>
        <w:t>, 308 Ga. 116 (2020).</w:t>
      </w:r>
    </w:p>
  </w:footnote>
  <w:footnote w:id="4">
    <w:p w14:paraId="07D1D536" w14:textId="06E50E91" w:rsidR="006A637F" w:rsidRPr="006A637F" w:rsidRDefault="006A637F">
      <w:pPr>
        <w:pStyle w:val="FootnoteText"/>
        <w:rPr>
          <w:rFonts w:cs="Times New Roman"/>
        </w:rPr>
      </w:pPr>
      <w:r>
        <w:rPr>
          <w:rStyle w:val="FootnoteReference"/>
        </w:rPr>
        <w:footnoteRef/>
      </w:r>
      <w:r>
        <w:t xml:space="preserve"> </w:t>
      </w:r>
      <w:r w:rsidR="00C71010">
        <w:rPr>
          <w:rFonts w:cs="Times New Roman"/>
          <w:szCs w:val="24"/>
        </w:rPr>
        <w:t xml:space="preserve">In </w:t>
      </w:r>
      <w:r w:rsidR="00C71010">
        <w:rPr>
          <w:rFonts w:cs="Times New Roman"/>
          <w:i/>
          <w:szCs w:val="24"/>
        </w:rPr>
        <w:t>Boggs v. State</w:t>
      </w:r>
      <w:r w:rsidR="00C71010">
        <w:rPr>
          <w:rFonts w:cs="Times New Roman"/>
          <w:szCs w:val="24"/>
        </w:rPr>
        <w:t xml:space="preserve">, 261 Ga. App. 104 (2003), the Court of Appeals held that whether a person is immune from prosecution must be determined by the trial court before the trial of that person commences.  This decision was approved and reconfirmed by the Georgia Supreme Court in </w:t>
      </w:r>
      <w:r w:rsidR="00C71010">
        <w:rPr>
          <w:rFonts w:cs="Times New Roman"/>
          <w:i/>
          <w:szCs w:val="24"/>
        </w:rPr>
        <w:t>Fair v. State</w:t>
      </w:r>
      <w:r w:rsidR="00C71010">
        <w:rPr>
          <w:rFonts w:cs="Times New Roman"/>
          <w:szCs w:val="24"/>
        </w:rPr>
        <w:t>, 284 Ga. 165 (2008).  The trial court must make a ruling on the motion before the trial.</w:t>
      </w:r>
    </w:p>
  </w:footnote>
  <w:footnote w:id="5">
    <w:p w14:paraId="1F2FB21C" w14:textId="29511E9C" w:rsidR="0004300C" w:rsidRPr="0004300C" w:rsidRDefault="0004300C">
      <w:pPr>
        <w:pStyle w:val="FootnoteText"/>
      </w:pPr>
      <w:r>
        <w:rPr>
          <w:rStyle w:val="FootnoteReference"/>
        </w:rPr>
        <w:footnoteRef/>
      </w:r>
      <w:r>
        <w:t xml:space="preserve"> </w:t>
      </w:r>
      <w:r>
        <w:rPr>
          <w:i/>
          <w:iCs/>
        </w:rPr>
        <w:t>Lightning v. State</w:t>
      </w:r>
      <w:r>
        <w:t xml:space="preserve">, 297 Ga. App. 54, 57-58 (2009); </w:t>
      </w:r>
      <w:r>
        <w:rPr>
          <w:i/>
          <w:iCs/>
        </w:rPr>
        <w:t>Campbell v. State</w:t>
      </w:r>
      <w:r>
        <w:t xml:space="preserve">, 297 Ga. App. 387, </w:t>
      </w:r>
      <w:r w:rsidR="0082104C">
        <w:t>389 (2009).</w:t>
      </w:r>
    </w:p>
  </w:footnote>
  <w:footnote w:id="6">
    <w:p w14:paraId="49085C73" w14:textId="4B53536B" w:rsidR="0082104C" w:rsidRPr="0082104C" w:rsidRDefault="0082104C">
      <w:pPr>
        <w:pStyle w:val="FootnoteText"/>
      </w:pPr>
      <w:r>
        <w:rPr>
          <w:rStyle w:val="FootnoteReference"/>
        </w:rPr>
        <w:footnoteRef/>
      </w:r>
      <w:r>
        <w:t xml:space="preserve"> </w:t>
      </w:r>
      <w:r>
        <w:rPr>
          <w:i/>
          <w:iCs/>
        </w:rPr>
        <w:t xml:space="preserve">State v. </w:t>
      </w:r>
      <w:proofErr w:type="spellStart"/>
      <w:r>
        <w:rPr>
          <w:i/>
          <w:iCs/>
        </w:rPr>
        <w:t>Yapo</w:t>
      </w:r>
      <w:proofErr w:type="spellEnd"/>
      <w:r>
        <w:t>, 296 Ga. App. 158 (2009).</w:t>
      </w:r>
    </w:p>
  </w:footnote>
  <w:footnote w:id="7">
    <w:p w14:paraId="6D0F7D42" w14:textId="0B43C409" w:rsidR="00C71010" w:rsidRPr="0008180D" w:rsidRDefault="00C71010" w:rsidP="00C71010">
      <w:pPr>
        <w:pStyle w:val="FootnoteText"/>
      </w:pPr>
      <w:r>
        <w:rPr>
          <w:rStyle w:val="FootnoteReference"/>
        </w:rPr>
        <w:footnoteRef/>
      </w:r>
      <w:r>
        <w:t xml:space="preserve"> </w:t>
      </w:r>
      <w:r>
        <w:rPr>
          <w:i/>
        </w:rPr>
        <w:t>Bunn v. State</w:t>
      </w:r>
      <w:r>
        <w:t xml:space="preserve">, 284 Ga. 410, 413 (2008); </w:t>
      </w:r>
      <w:r>
        <w:rPr>
          <w:i/>
        </w:rPr>
        <w:t>Cotton v. State</w:t>
      </w:r>
      <w:r>
        <w:t>, 297 Ga. 257, 258-259 (2015)</w:t>
      </w:r>
      <w:r w:rsidR="00D54556">
        <w:t xml:space="preserve">; </w:t>
      </w:r>
      <w:r w:rsidR="00D54556">
        <w:rPr>
          <w:i/>
          <w:iCs/>
        </w:rPr>
        <w:t>State v. Copeland</w:t>
      </w:r>
      <w:r w:rsidR="00D54556">
        <w:t>, 310 Ga. 345 (2020)</w:t>
      </w:r>
      <w:r w:rsidR="0008180D">
        <w:t xml:space="preserve">; </w:t>
      </w:r>
      <w:r w:rsidR="0008180D">
        <w:rPr>
          <w:i/>
          <w:iCs/>
        </w:rPr>
        <w:t>State v. Smith</w:t>
      </w:r>
      <w:r w:rsidR="0008180D">
        <w:t>, 347 Ga. App. 298, 293 (2018).</w:t>
      </w:r>
    </w:p>
  </w:footnote>
  <w:footnote w:id="8">
    <w:p w14:paraId="06454D55" w14:textId="77777777" w:rsidR="00C71010" w:rsidRPr="006D0259" w:rsidRDefault="00C71010" w:rsidP="00C71010">
      <w:pPr>
        <w:pStyle w:val="FootnoteText"/>
      </w:pPr>
      <w:r>
        <w:rPr>
          <w:rStyle w:val="FootnoteReference"/>
        </w:rPr>
        <w:footnoteRef/>
      </w:r>
      <w:r>
        <w:t xml:space="preserve"> </w:t>
      </w:r>
      <w:r>
        <w:rPr>
          <w:i/>
        </w:rPr>
        <w:t>State v. Jennings</w:t>
      </w:r>
      <w:r>
        <w:t>, 337 Ga. App. 164, 166-167 (2016).</w:t>
      </w:r>
    </w:p>
  </w:footnote>
  <w:footnote w:id="9">
    <w:p w14:paraId="3FA94710" w14:textId="35A5D390" w:rsidR="00F04D88" w:rsidRDefault="00F04D88">
      <w:pPr>
        <w:pStyle w:val="FootnoteText"/>
      </w:pPr>
      <w:r>
        <w:rPr>
          <w:rStyle w:val="FootnoteReference"/>
        </w:rPr>
        <w:footnoteRef/>
      </w:r>
      <w:r>
        <w:t xml:space="preserve"> </w:t>
      </w:r>
      <w:r>
        <w:rPr>
          <w:i/>
          <w:iCs/>
        </w:rPr>
        <w:t>State v. Copeland</w:t>
      </w:r>
      <w:r>
        <w:t>, 310 Ga. 345</w:t>
      </w:r>
      <w:r>
        <w:t>, 357-358</w:t>
      </w:r>
      <w:r>
        <w:t xml:space="preserve"> (2020)</w:t>
      </w:r>
      <w:r>
        <w:t>.</w:t>
      </w:r>
    </w:p>
  </w:footnote>
  <w:footnote w:id="10">
    <w:p w14:paraId="6FF7A4F2" w14:textId="42EFE12D" w:rsidR="0049104C" w:rsidRDefault="0049104C">
      <w:pPr>
        <w:pStyle w:val="FootnoteText"/>
      </w:pPr>
      <w:r>
        <w:rPr>
          <w:rStyle w:val="FootnoteReference"/>
        </w:rPr>
        <w:footnoteRef/>
      </w:r>
      <w:r>
        <w:t xml:space="preserve"> O.C.G.A. §  16-3-21(b)(3); </w:t>
      </w:r>
      <w:r>
        <w:rPr>
          <w:i/>
          <w:iCs/>
        </w:rPr>
        <w:t>State v. Copeland</w:t>
      </w:r>
      <w:r>
        <w:t>, 310 Ga. 345</w:t>
      </w:r>
      <w:r>
        <w:t>, 349</w:t>
      </w:r>
      <w:r>
        <w:t xml:space="preserve"> (2020).</w:t>
      </w:r>
    </w:p>
  </w:footnote>
  <w:footnote w:id="11">
    <w:p w14:paraId="5299EC6A" w14:textId="0E7735C0" w:rsidR="00834E7F" w:rsidRDefault="00834E7F" w:rsidP="00834E7F">
      <w:pPr>
        <w:pStyle w:val="FootnoteText"/>
      </w:pPr>
      <w:r>
        <w:rPr>
          <w:rStyle w:val="FootnoteReference"/>
        </w:rPr>
        <w:footnoteRef/>
      </w:r>
      <w:r>
        <w:t xml:space="preserve"> Jack Goger, </w:t>
      </w:r>
      <w:r>
        <w:rPr>
          <w:i/>
        </w:rPr>
        <w:t>Daniel’s Georgia Criminal Trial Practice</w:t>
      </w:r>
      <w:r>
        <w:t xml:space="preserve">, </w:t>
      </w:r>
      <w:r>
        <w:rPr>
          <w:rFonts w:cs="Times New Roman"/>
        </w:rPr>
        <w:t>§</w:t>
      </w:r>
      <w:r>
        <w:t>21-19, p. 1386 (2014-2015 ed.).</w:t>
      </w:r>
    </w:p>
  </w:footnote>
  <w:footnote w:id="12">
    <w:p w14:paraId="767F3A4C" w14:textId="2AB01965" w:rsidR="00137C80" w:rsidRDefault="00137C80">
      <w:pPr>
        <w:pStyle w:val="FootnoteText"/>
      </w:pPr>
      <w:r>
        <w:rPr>
          <w:rStyle w:val="FootnoteReference"/>
        </w:rPr>
        <w:footnoteRef/>
      </w:r>
      <w:r>
        <w:t xml:space="preserve"> </w:t>
      </w:r>
      <w:r>
        <w:rPr>
          <w:i/>
          <w:iCs/>
        </w:rPr>
        <w:t>State v. Copeland</w:t>
      </w:r>
      <w:r>
        <w:t>, 310 Ga. 345</w:t>
      </w:r>
      <w:r w:rsidR="00E43CA3">
        <w:t>, 355</w:t>
      </w:r>
      <w:r>
        <w:t xml:space="preserve"> (2020).</w:t>
      </w:r>
    </w:p>
  </w:footnote>
  <w:footnote w:id="13">
    <w:p w14:paraId="5754D70D" w14:textId="3C27B515" w:rsidR="00E43CA3" w:rsidRDefault="00E43CA3">
      <w:pPr>
        <w:pStyle w:val="FootnoteText"/>
      </w:pPr>
      <w:r>
        <w:rPr>
          <w:rStyle w:val="FootnoteReference"/>
        </w:rPr>
        <w:footnoteRef/>
      </w:r>
      <w:r>
        <w:t xml:space="preserve"> </w:t>
      </w:r>
      <w:r>
        <w:rPr>
          <w:i/>
          <w:iCs/>
        </w:rPr>
        <w:t>State v. Copeland</w:t>
      </w:r>
      <w:r>
        <w:t>, 310 Ga. 345</w:t>
      </w:r>
      <w:r>
        <w:t>, 355</w:t>
      </w:r>
      <w:r>
        <w:t xml:space="preserve"> (2020).</w:t>
      </w:r>
    </w:p>
  </w:footnote>
  <w:footnote w:id="14">
    <w:p w14:paraId="0200862B" w14:textId="77777777" w:rsidR="00834E7F" w:rsidRDefault="00834E7F" w:rsidP="00834E7F">
      <w:pPr>
        <w:pStyle w:val="FootnoteText"/>
      </w:pPr>
      <w:r>
        <w:rPr>
          <w:rStyle w:val="FootnoteReference"/>
        </w:rPr>
        <w:footnoteRef/>
      </w:r>
      <w:r>
        <w:t xml:space="preserve"> </w:t>
      </w:r>
      <w:r>
        <w:rPr>
          <w:i/>
        </w:rPr>
        <w:t>Bunn</w:t>
      </w:r>
      <w:r>
        <w:t xml:space="preserve">, at 413; </w:t>
      </w:r>
      <w:r>
        <w:rPr>
          <w:i/>
        </w:rPr>
        <w:t>Porter v. State</w:t>
      </w:r>
      <w:r>
        <w:t>, 272 Ga. 533, 534 (2000).</w:t>
      </w:r>
    </w:p>
  </w:footnote>
  <w:footnote w:id="15">
    <w:p w14:paraId="12808D57" w14:textId="77777777" w:rsidR="007B1A76" w:rsidRPr="0007434D" w:rsidRDefault="007B1A76" w:rsidP="007B1A76">
      <w:pPr>
        <w:pStyle w:val="FootnoteText"/>
      </w:pPr>
      <w:r>
        <w:rPr>
          <w:rStyle w:val="FootnoteReference"/>
        </w:rPr>
        <w:footnoteRef/>
      </w:r>
      <w:r>
        <w:t xml:space="preserve"> </w:t>
      </w:r>
      <w:r>
        <w:rPr>
          <w:i/>
        </w:rPr>
        <w:t>Mullins v. State</w:t>
      </w:r>
      <w:r>
        <w:t>, 287 Ga. 302 (2010).</w:t>
      </w:r>
    </w:p>
  </w:footnote>
  <w:footnote w:id="16">
    <w:p w14:paraId="68BAFFAB" w14:textId="77777777" w:rsidR="007B1A76" w:rsidRPr="00602B2B" w:rsidRDefault="007B1A76" w:rsidP="007B1A76">
      <w:pPr>
        <w:pStyle w:val="FootnoteText"/>
      </w:pPr>
      <w:r>
        <w:rPr>
          <w:rStyle w:val="FootnoteReference"/>
        </w:rPr>
        <w:footnoteRef/>
      </w:r>
      <w:r>
        <w:t xml:space="preserve"> </w:t>
      </w:r>
      <w:proofErr w:type="spellStart"/>
      <w:r>
        <w:rPr>
          <w:i/>
        </w:rPr>
        <w:t>Hipp</w:t>
      </w:r>
      <w:proofErr w:type="spellEnd"/>
      <w:r>
        <w:rPr>
          <w:i/>
        </w:rPr>
        <w:t xml:space="preserve"> v. State</w:t>
      </w:r>
      <w:r>
        <w:t>, 293 Ga. 415 (2013).</w:t>
      </w:r>
    </w:p>
  </w:footnote>
  <w:footnote w:id="17">
    <w:p w14:paraId="039485C4" w14:textId="77777777" w:rsidR="00E60132" w:rsidRPr="00537EE3" w:rsidRDefault="00E60132" w:rsidP="00E60132">
      <w:pPr>
        <w:pStyle w:val="FootnoteText"/>
      </w:pPr>
      <w:r>
        <w:rPr>
          <w:rStyle w:val="FootnoteReference"/>
        </w:rPr>
        <w:footnoteRef/>
      </w:r>
      <w:r>
        <w:t xml:space="preserve"> </w:t>
      </w:r>
      <w:r>
        <w:rPr>
          <w:i/>
          <w:iCs/>
        </w:rPr>
        <w:t>McClure v. State</w:t>
      </w:r>
      <w:r>
        <w:t>, 306 Gas. 856 (2019).</w:t>
      </w:r>
    </w:p>
  </w:footnote>
  <w:footnote w:id="18">
    <w:p w14:paraId="645CF011" w14:textId="77777777" w:rsidR="00E14AC3" w:rsidRPr="003B4B73" w:rsidRDefault="00E14AC3" w:rsidP="00E14AC3">
      <w:pPr>
        <w:pStyle w:val="FootnoteText"/>
      </w:pPr>
      <w:r>
        <w:rPr>
          <w:rStyle w:val="FootnoteReference"/>
        </w:rPr>
        <w:footnoteRef/>
      </w:r>
      <w:r>
        <w:t xml:space="preserve"> See </w:t>
      </w:r>
      <w:r>
        <w:rPr>
          <w:i/>
          <w:iCs/>
        </w:rPr>
        <w:t>State v. Remy</w:t>
      </w:r>
      <w:r>
        <w:t>, 308 Ga. 296, 297 (2020).</w:t>
      </w:r>
    </w:p>
  </w:footnote>
  <w:footnote w:id="19">
    <w:p w14:paraId="5C729929" w14:textId="77777777" w:rsidR="00E14AC3" w:rsidRDefault="00E14AC3" w:rsidP="00E14AC3">
      <w:pPr>
        <w:pStyle w:val="FootnoteText"/>
      </w:pPr>
      <w:r>
        <w:rPr>
          <w:rStyle w:val="FootnoteReference"/>
        </w:rPr>
        <w:footnoteRef/>
      </w:r>
      <w:r>
        <w:t xml:space="preserve"> Part 2 of Article 4 of Chapter 11 deals with the type of weapon (i.e. sawed-off shotgun, machine gun, weapon with a silencer, etc.) whereas Part 3 deals with the status of the person possessing an otherwise legal weapon (i.e. convicted felon, under age 18, etc.).  The statute was changed in 2014.</w:t>
      </w:r>
    </w:p>
  </w:footnote>
  <w:footnote w:id="20">
    <w:p w14:paraId="35E6FAF0" w14:textId="4082FCD7" w:rsidR="00F60A9F" w:rsidRPr="00F60A9F" w:rsidRDefault="00F60A9F">
      <w:pPr>
        <w:pStyle w:val="FootnoteText"/>
      </w:pPr>
      <w:r>
        <w:rPr>
          <w:rStyle w:val="FootnoteReference"/>
        </w:rPr>
        <w:footnoteRef/>
      </w:r>
      <w:r>
        <w:t xml:space="preserve"> </w:t>
      </w:r>
      <w:r>
        <w:rPr>
          <w:i/>
          <w:iCs/>
        </w:rPr>
        <w:t>Johnson v. State</w:t>
      </w:r>
      <w:r>
        <w:t xml:space="preserve">, 308 Ga. 141 (2020); </w:t>
      </w:r>
      <w:r>
        <w:rPr>
          <w:i/>
          <w:iCs/>
        </w:rPr>
        <w:t>State v. Remy</w:t>
      </w:r>
      <w:r>
        <w:t>, 308 Ga. 296 (2020).</w:t>
      </w:r>
    </w:p>
  </w:footnote>
  <w:footnote w:id="21">
    <w:p w14:paraId="4B852A6E" w14:textId="70CCD8C8" w:rsidR="004E1F35" w:rsidRPr="004E1F35" w:rsidRDefault="004E1F35">
      <w:pPr>
        <w:pStyle w:val="FootnoteText"/>
      </w:pPr>
      <w:r>
        <w:rPr>
          <w:rStyle w:val="FootnoteReference"/>
        </w:rPr>
        <w:footnoteRef/>
      </w:r>
      <w:r>
        <w:t xml:space="preserve"> </w:t>
      </w:r>
      <w:r>
        <w:rPr>
          <w:i/>
          <w:iCs/>
        </w:rPr>
        <w:t>Campbell v. State</w:t>
      </w:r>
      <w:r>
        <w:t xml:space="preserve">, </w:t>
      </w:r>
      <w:r w:rsidR="00D5793A">
        <w:t>297 Ga. App. 387, 389-390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6486"/>
    <w:multiLevelType w:val="hybridMultilevel"/>
    <w:tmpl w:val="6D54AF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03CFA"/>
    <w:multiLevelType w:val="hybridMultilevel"/>
    <w:tmpl w:val="103C47C4"/>
    <w:lvl w:ilvl="0" w:tplc="7D86E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C81BB0"/>
    <w:multiLevelType w:val="hybridMultilevel"/>
    <w:tmpl w:val="4942F75A"/>
    <w:lvl w:ilvl="0" w:tplc="A1C4544C">
      <w:start w:val="1"/>
      <w:numFmt w:val="decimal"/>
      <w:pStyle w:val="ListParagraph"/>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1F"/>
    <w:rsid w:val="0001480E"/>
    <w:rsid w:val="0004300C"/>
    <w:rsid w:val="0004373D"/>
    <w:rsid w:val="00065E1F"/>
    <w:rsid w:val="0008180D"/>
    <w:rsid w:val="000A12EF"/>
    <w:rsid w:val="000B6E70"/>
    <w:rsid w:val="000B794A"/>
    <w:rsid w:val="000D1357"/>
    <w:rsid w:val="00100409"/>
    <w:rsid w:val="001029B7"/>
    <w:rsid w:val="00103890"/>
    <w:rsid w:val="00107B50"/>
    <w:rsid w:val="00122551"/>
    <w:rsid w:val="00137C80"/>
    <w:rsid w:val="00142CB0"/>
    <w:rsid w:val="0015116A"/>
    <w:rsid w:val="00154C02"/>
    <w:rsid w:val="001560FF"/>
    <w:rsid w:val="001A111E"/>
    <w:rsid w:val="001B25CD"/>
    <w:rsid w:val="001E5C7E"/>
    <w:rsid w:val="001E6167"/>
    <w:rsid w:val="001E7F01"/>
    <w:rsid w:val="00204026"/>
    <w:rsid w:val="00232387"/>
    <w:rsid w:val="00240ED5"/>
    <w:rsid w:val="00261D63"/>
    <w:rsid w:val="00264C6F"/>
    <w:rsid w:val="002B001F"/>
    <w:rsid w:val="002B6B5E"/>
    <w:rsid w:val="002C055C"/>
    <w:rsid w:val="002D5507"/>
    <w:rsid w:val="002F37ED"/>
    <w:rsid w:val="002F672E"/>
    <w:rsid w:val="00306BF1"/>
    <w:rsid w:val="00335AAF"/>
    <w:rsid w:val="00351C09"/>
    <w:rsid w:val="0035289B"/>
    <w:rsid w:val="003A5275"/>
    <w:rsid w:val="003B0A35"/>
    <w:rsid w:val="003B4B73"/>
    <w:rsid w:val="003C63B0"/>
    <w:rsid w:val="003D32D0"/>
    <w:rsid w:val="003D7862"/>
    <w:rsid w:val="003E554B"/>
    <w:rsid w:val="004018CE"/>
    <w:rsid w:val="00410699"/>
    <w:rsid w:val="004146A9"/>
    <w:rsid w:val="00424A01"/>
    <w:rsid w:val="004350FA"/>
    <w:rsid w:val="00442E3B"/>
    <w:rsid w:val="004525D6"/>
    <w:rsid w:val="00472481"/>
    <w:rsid w:val="0049104C"/>
    <w:rsid w:val="004A2D07"/>
    <w:rsid w:val="004B6A54"/>
    <w:rsid w:val="004D52B2"/>
    <w:rsid w:val="004E1F35"/>
    <w:rsid w:val="004E3958"/>
    <w:rsid w:val="004E7D65"/>
    <w:rsid w:val="004F0794"/>
    <w:rsid w:val="00503A43"/>
    <w:rsid w:val="005047B8"/>
    <w:rsid w:val="00515772"/>
    <w:rsid w:val="00523787"/>
    <w:rsid w:val="00566EA5"/>
    <w:rsid w:val="005A0E4E"/>
    <w:rsid w:val="005B1062"/>
    <w:rsid w:val="005D02EA"/>
    <w:rsid w:val="005E1547"/>
    <w:rsid w:val="005E1988"/>
    <w:rsid w:val="00602BFF"/>
    <w:rsid w:val="00603910"/>
    <w:rsid w:val="006075E5"/>
    <w:rsid w:val="00612880"/>
    <w:rsid w:val="00632116"/>
    <w:rsid w:val="00650306"/>
    <w:rsid w:val="006727EB"/>
    <w:rsid w:val="006919F7"/>
    <w:rsid w:val="00696A9E"/>
    <w:rsid w:val="006A637F"/>
    <w:rsid w:val="006B5ACE"/>
    <w:rsid w:val="007213E9"/>
    <w:rsid w:val="007638AA"/>
    <w:rsid w:val="007715D7"/>
    <w:rsid w:val="0077362A"/>
    <w:rsid w:val="007A7D35"/>
    <w:rsid w:val="007B06E6"/>
    <w:rsid w:val="007B1A76"/>
    <w:rsid w:val="007E15F1"/>
    <w:rsid w:val="00820B40"/>
    <w:rsid w:val="0082104C"/>
    <w:rsid w:val="00832B60"/>
    <w:rsid w:val="00834E7F"/>
    <w:rsid w:val="00846E75"/>
    <w:rsid w:val="0088054E"/>
    <w:rsid w:val="008B7661"/>
    <w:rsid w:val="008C2A9D"/>
    <w:rsid w:val="008F365C"/>
    <w:rsid w:val="00900C32"/>
    <w:rsid w:val="00902E9D"/>
    <w:rsid w:val="009148D9"/>
    <w:rsid w:val="00934211"/>
    <w:rsid w:val="00943B49"/>
    <w:rsid w:val="00951783"/>
    <w:rsid w:val="009A0744"/>
    <w:rsid w:val="009A1C12"/>
    <w:rsid w:val="009A23D9"/>
    <w:rsid w:val="009A60C3"/>
    <w:rsid w:val="009B44A4"/>
    <w:rsid w:val="009F2154"/>
    <w:rsid w:val="00A25431"/>
    <w:rsid w:val="00A31745"/>
    <w:rsid w:val="00A35755"/>
    <w:rsid w:val="00A45391"/>
    <w:rsid w:val="00A45C29"/>
    <w:rsid w:val="00A76BE1"/>
    <w:rsid w:val="00A81641"/>
    <w:rsid w:val="00A97568"/>
    <w:rsid w:val="00A9758D"/>
    <w:rsid w:val="00AA0FC1"/>
    <w:rsid w:val="00AB112F"/>
    <w:rsid w:val="00AC66DB"/>
    <w:rsid w:val="00AC7A81"/>
    <w:rsid w:val="00AE04FB"/>
    <w:rsid w:val="00AE4BCA"/>
    <w:rsid w:val="00B164FE"/>
    <w:rsid w:val="00B211CF"/>
    <w:rsid w:val="00B25E7E"/>
    <w:rsid w:val="00B3401D"/>
    <w:rsid w:val="00B342CF"/>
    <w:rsid w:val="00B900A0"/>
    <w:rsid w:val="00B962EC"/>
    <w:rsid w:val="00BA6C7A"/>
    <w:rsid w:val="00BC0F72"/>
    <w:rsid w:val="00BF7933"/>
    <w:rsid w:val="00C01FF1"/>
    <w:rsid w:val="00C041B3"/>
    <w:rsid w:val="00C11E3D"/>
    <w:rsid w:val="00C505A7"/>
    <w:rsid w:val="00C5291C"/>
    <w:rsid w:val="00C53771"/>
    <w:rsid w:val="00C5403F"/>
    <w:rsid w:val="00C5423F"/>
    <w:rsid w:val="00C55C6A"/>
    <w:rsid w:val="00C71010"/>
    <w:rsid w:val="00C7413C"/>
    <w:rsid w:val="00C77C59"/>
    <w:rsid w:val="00CE2ABA"/>
    <w:rsid w:val="00D1783A"/>
    <w:rsid w:val="00D34266"/>
    <w:rsid w:val="00D37377"/>
    <w:rsid w:val="00D5117B"/>
    <w:rsid w:val="00D54556"/>
    <w:rsid w:val="00D5793A"/>
    <w:rsid w:val="00D730C5"/>
    <w:rsid w:val="00D944C6"/>
    <w:rsid w:val="00DA44F4"/>
    <w:rsid w:val="00DC1FBD"/>
    <w:rsid w:val="00DD0E7E"/>
    <w:rsid w:val="00DF021B"/>
    <w:rsid w:val="00E04E48"/>
    <w:rsid w:val="00E12F81"/>
    <w:rsid w:val="00E14AC3"/>
    <w:rsid w:val="00E220E7"/>
    <w:rsid w:val="00E43CA3"/>
    <w:rsid w:val="00E60132"/>
    <w:rsid w:val="00E62727"/>
    <w:rsid w:val="00E661E0"/>
    <w:rsid w:val="00E80449"/>
    <w:rsid w:val="00E806A0"/>
    <w:rsid w:val="00E8297D"/>
    <w:rsid w:val="00E95D98"/>
    <w:rsid w:val="00E9647C"/>
    <w:rsid w:val="00EB34F5"/>
    <w:rsid w:val="00EC3A86"/>
    <w:rsid w:val="00EE28D5"/>
    <w:rsid w:val="00F04D88"/>
    <w:rsid w:val="00F15F5B"/>
    <w:rsid w:val="00F216DC"/>
    <w:rsid w:val="00F2490C"/>
    <w:rsid w:val="00F60A9F"/>
    <w:rsid w:val="00F9397D"/>
    <w:rsid w:val="00FB1944"/>
    <w:rsid w:val="00FB4CCB"/>
    <w:rsid w:val="00F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0146"/>
  <w15:chartTrackingRefBased/>
  <w15:docId w15:val="{2C0571A6-045E-451F-B817-73694571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sz w:val="28"/>
        <w:szCs w:val="28"/>
        <w:lang w:val="en-US" w:eastAsia="en-US" w:bidi="ar-SA"/>
      </w:rPr>
    </w:rPrDefault>
    <w:pPrDefault>
      <w:pPr>
        <w:spacing w:after="240"/>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8D"/>
    <w:pPr>
      <w:spacing w:after="200" w:line="276" w:lineRule="auto"/>
      <w:ind w:left="0" w:right="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Quote">
    <w:name w:val="Legal Quote"/>
    <w:basedOn w:val="Normal"/>
    <w:qFormat/>
    <w:rsid w:val="00FB1944"/>
    <w:pPr>
      <w:keepNext/>
      <w:spacing w:before="240" w:after="240" w:line="240" w:lineRule="auto"/>
      <w:ind w:left="720" w:right="720"/>
    </w:pPr>
  </w:style>
  <w:style w:type="character" w:styleId="EndnoteReference">
    <w:name w:val="endnote reference"/>
    <w:basedOn w:val="DefaultParagraphFont"/>
    <w:uiPriority w:val="99"/>
    <w:unhideWhenUsed/>
    <w:qFormat/>
    <w:rsid w:val="0001480E"/>
    <w:rPr>
      <w:rFonts w:ascii="Times New Roman" w:hAnsi="Times New Roman"/>
      <w:b/>
      <w:caps w:val="0"/>
      <w:smallCaps w:val="0"/>
      <w:strike w:val="0"/>
      <w:dstrike w:val="0"/>
      <w:vanish w:val="0"/>
      <w:color w:val="auto"/>
      <w:sz w:val="24"/>
      <w:bdr w:val="none" w:sz="0" w:space="0" w:color="auto"/>
      <w:vertAlign w:val="superscript"/>
    </w:rPr>
  </w:style>
  <w:style w:type="paragraph" w:styleId="EndnoteText">
    <w:name w:val="endnote text"/>
    <w:basedOn w:val="Normal"/>
    <w:link w:val="EndnoteTextChar"/>
    <w:uiPriority w:val="99"/>
    <w:semiHidden/>
    <w:unhideWhenUsed/>
    <w:qFormat/>
    <w:rsid w:val="00A35755"/>
    <w:pPr>
      <w:spacing w:line="240" w:lineRule="auto"/>
      <w:ind w:left="432" w:hanging="432"/>
    </w:pPr>
    <w:rPr>
      <w:szCs w:val="20"/>
    </w:rPr>
  </w:style>
  <w:style w:type="character" w:customStyle="1" w:styleId="EndnoteTextChar">
    <w:name w:val="Endnote Text Char"/>
    <w:basedOn w:val="DefaultParagraphFont"/>
    <w:link w:val="EndnoteText"/>
    <w:uiPriority w:val="99"/>
    <w:semiHidden/>
    <w:rsid w:val="00A35755"/>
    <w:rPr>
      <w:szCs w:val="20"/>
    </w:rPr>
  </w:style>
  <w:style w:type="paragraph" w:styleId="ListParagraph">
    <w:name w:val="List Paragraph"/>
    <w:basedOn w:val="Normal"/>
    <w:uiPriority w:val="34"/>
    <w:qFormat/>
    <w:rsid w:val="002D5507"/>
    <w:pPr>
      <w:numPr>
        <w:numId w:val="2"/>
      </w:numPr>
      <w:tabs>
        <w:tab w:val="num" w:pos="360"/>
      </w:tabs>
      <w:ind w:left="0" w:firstLine="0"/>
    </w:pPr>
  </w:style>
  <w:style w:type="paragraph" w:customStyle="1" w:styleId="Legalquote0">
    <w:name w:val="Legal quote"/>
    <w:basedOn w:val="Normal"/>
    <w:qFormat/>
    <w:rsid w:val="00820B40"/>
    <w:pPr>
      <w:spacing w:before="240" w:after="240" w:line="240" w:lineRule="auto"/>
      <w:ind w:left="720" w:right="720"/>
    </w:pPr>
    <w:rPr>
      <w:rFonts w:eastAsiaTheme="minorHAnsi"/>
    </w:rPr>
  </w:style>
  <w:style w:type="character" w:styleId="FootnoteReference">
    <w:name w:val="footnote reference"/>
    <w:basedOn w:val="DefaultParagraphFont"/>
    <w:uiPriority w:val="99"/>
    <w:unhideWhenUsed/>
    <w:rsid w:val="00B962EC"/>
    <w:rPr>
      <w:rFonts w:ascii="Times New Roman" w:hAnsi="Times New Roman"/>
      <w:b/>
      <w:color w:val="auto"/>
      <w:sz w:val="24"/>
      <w:vertAlign w:val="superscript"/>
    </w:rPr>
  </w:style>
  <w:style w:type="paragraph" w:styleId="Header">
    <w:name w:val="header"/>
    <w:basedOn w:val="Normal"/>
    <w:link w:val="HeaderChar"/>
    <w:uiPriority w:val="99"/>
    <w:unhideWhenUsed/>
    <w:rsid w:val="00A4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29"/>
    <w:rPr>
      <w:rFonts w:cs="Times New Roman"/>
    </w:rPr>
  </w:style>
  <w:style w:type="paragraph" w:styleId="Footer">
    <w:name w:val="footer"/>
    <w:basedOn w:val="Normal"/>
    <w:link w:val="FooterChar"/>
    <w:uiPriority w:val="99"/>
    <w:unhideWhenUsed/>
    <w:rsid w:val="00A4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29"/>
    <w:rPr>
      <w:rFonts w:cs="Times New Roman"/>
    </w:rPr>
  </w:style>
  <w:style w:type="character" w:styleId="Hyperlink">
    <w:name w:val="Hyperlink"/>
    <w:basedOn w:val="DefaultParagraphFont"/>
    <w:uiPriority w:val="99"/>
    <w:unhideWhenUsed/>
    <w:rsid w:val="00DC1FBD"/>
    <w:rPr>
      <w:color w:val="0563C1" w:themeColor="hyperlink"/>
      <w:u w:val="single"/>
    </w:rPr>
  </w:style>
  <w:style w:type="character" w:styleId="UnresolvedMention">
    <w:name w:val="Unresolved Mention"/>
    <w:basedOn w:val="DefaultParagraphFont"/>
    <w:uiPriority w:val="99"/>
    <w:semiHidden/>
    <w:unhideWhenUsed/>
    <w:rsid w:val="00DC1FBD"/>
    <w:rPr>
      <w:color w:val="605E5C"/>
      <w:shd w:val="clear" w:color="auto" w:fill="E1DFDD"/>
    </w:rPr>
  </w:style>
  <w:style w:type="character" w:styleId="Emphasis">
    <w:name w:val="Emphasis"/>
    <w:basedOn w:val="DefaultParagraphFont"/>
    <w:uiPriority w:val="20"/>
    <w:qFormat/>
    <w:rsid w:val="003B0A35"/>
    <w:rPr>
      <w:i/>
      <w:iCs/>
    </w:rPr>
  </w:style>
  <w:style w:type="paragraph" w:styleId="FootnoteText">
    <w:name w:val="footnote text"/>
    <w:basedOn w:val="Normal"/>
    <w:link w:val="FootnoteTextChar"/>
    <w:uiPriority w:val="99"/>
    <w:semiHidden/>
    <w:unhideWhenUsed/>
    <w:qFormat/>
    <w:rsid w:val="00A9758D"/>
    <w:pPr>
      <w:spacing w:after="0" w:line="240" w:lineRule="auto"/>
    </w:pPr>
    <w:rPr>
      <w:rFonts w:eastAsiaTheme="minorHAnsi" w:cstheme="minorBidi"/>
      <w:sz w:val="24"/>
      <w:szCs w:val="20"/>
    </w:rPr>
  </w:style>
  <w:style w:type="character" w:customStyle="1" w:styleId="FootnoteTextChar">
    <w:name w:val="Footnote Text Char"/>
    <w:basedOn w:val="DefaultParagraphFont"/>
    <w:link w:val="FootnoteText"/>
    <w:uiPriority w:val="99"/>
    <w:semiHidden/>
    <w:rsid w:val="00A9758D"/>
    <w:rPr>
      <w:rFonts w:eastAsiaTheme="minorHAnsi" w:cstheme="min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517">
      <w:bodyDiv w:val="1"/>
      <w:marLeft w:val="0"/>
      <w:marRight w:val="0"/>
      <w:marTop w:val="0"/>
      <w:marBottom w:val="0"/>
      <w:divBdr>
        <w:top w:val="none" w:sz="0" w:space="0" w:color="auto"/>
        <w:left w:val="none" w:sz="0" w:space="0" w:color="auto"/>
        <w:bottom w:val="none" w:sz="0" w:space="0" w:color="auto"/>
        <w:right w:val="none" w:sz="0" w:space="0" w:color="auto"/>
      </w:divBdr>
      <w:divsChild>
        <w:div w:id="589850243">
          <w:marLeft w:val="0"/>
          <w:marRight w:val="0"/>
          <w:marTop w:val="0"/>
          <w:marBottom w:val="0"/>
          <w:divBdr>
            <w:top w:val="none" w:sz="0" w:space="0" w:color="auto"/>
            <w:left w:val="none" w:sz="0" w:space="0" w:color="auto"/>
            <w:bottom w:val="none" w:sz="0" w:space="0" w:color="auto"/>
            <w:right w:val="none" w:sz="0" w:space="0" w:color="auto"/>
          </w:divBdr>
          <w:divsChild>
            <w:div w:id="1311792548">
              <w:marLeft w:val="0"/>
              <w:marRight w:val="0"/>
              <w:marTop w:val="0"/>
              <w:marBottom w:val="0"/>
              <w:divBdr>
                <w:top w:val="none" w:sz="0" w:space="0" w:color="auto"/>
                <w:left w:val="none" w:sz="0" w:space="0" w:color="auto"/>
                <w:bottom w:val="none" w:sz="0" w:space="0" w:color="auto"/>
                <w:right w:val="none" w:sz="0" w:space="0" w:color="auto"/>
              </w:divBdr>
            </w:div>
            <w:div w:id="916088446">
              <w:marLeft w:val="0"/>
              <w:marRight w:val="0"/>
              <w:marTop w:val="0"/>
              <w:marBottom w:val="0"/>
              <w:divBdr>
                <w:top w:val="none" w:sz="0" w:space="0" w:color="auto"/>
                <w:left w:val="none" w:sz="0" w:space="0" w:color="auto"/>
                <w:bottom w:val="none" w:sz="0" w:space="0" w:color="auto"/>
                <w:right w:val="none" w:sz="0" w:space="0" w:color="auto"/>
              </w:divBdr>
              <w:divsChild>
                <w:div w:id="1205096738">
                  <w:marLeft w:val="0"/>
                  <w:marRight w:val="0"/>
                  <w:marTop w:val="0"/>
                  <w:marBottom w:val="0"/>
                  <w:divBdr>
                    <w:top w:val="none" w:sz="0" w:space="0" w:color="auto"/>
                    <w:left w:val="none" w:sz="0" w:space="0" w:color="auto"/>
                    <w:bottom w:val="none" w:sz="0" w:space="0" w:color="auto"/>
                    <w:right w:val="none" w:sz="0" w:space="0" w:color="auto"/>
                  </w:divBdr>
                  <w:divsChild>
                    <w:div w:id="1348024252">
                      <w:blockQuote w:val="1"/>
                      <w:marLeft w:val="0"/>
                      <w:marRight w:val="0"/>
                      <w:marTop w:val="0"/>
                      <w:marBottom w:val="0"/>
                      <w:divBdr>
                        <w:top w:val="none" w:sz="0" w:space="0" w:color="auto"/>
                        <w:left w:val="none" w:sz="0" w:space="0" w:color="auto"/>
                        <w:bottom w:val="none" w:sz="0" w:space="0" w:color="auto"/>
                        <w:right w:val="none" w:sz="0" w:space="0" w:color="auto"/>
                      </w:divBdr>
                      <w:divsChild>
                        <w:div w:id="1913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6724">
          <w:marLeft w:val="0"/>
          <w:marRight w:val="0"/>
          <w:marTop w:val="0"/>
          <w:marBottom w:val="0"/>
          <w:divBdr>
            <w:top w:val="none" w:sz="0" w:space="0" w:color="auto"/>
            <w:left w:val="none" w:sz="0" w:space="0" w:color="auto"/>
            <w:bottom w:val="none" w:sz="0" w:space="0" w:color="auto"/>
            <w:right w:val="none" w:sz="0" w:space="0" w:color="auto"/>
          </w:divBdr>
          <w:divsChild>
            <w:div w:id="13496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1719">
      <w:bodyDiv w:val="1"/>
      <w:marLeft w:val="0"/>
      <w:marRight w:val="0"/>
      <w:marTop w:val="0"/>
      <w:marBottom w:val="0"/>
      <w:divBdr>
        <w:top w:val="none" w:sz="0" w:space="0" w:color="auto"/>
        <w:left w:val="none" w:sz="0" w:space="0" w:color="auto"/>
        <w:bottom w:val="none" w:sz="0" w:space="0" w:color="auto"/>
        <w:right w:val="none" w:sz="0" w:space="0" w:color="auto"/>
      </w:divBdr>
      <w:divsChild>
        <w:div w:id="1851942114">
          <w:marLeft w:val="0"/>
          <w:marRight w:val="0"/>
          <w:marTop w:val="0"/>
          <w:marBottom w:val="0"/>
          <w:divBdr>
            <w:top w:val="none" w:sz="0" w:space="0" w:color="auto"/>
            <w:left w:val="none" w:sz="0" w:space="0" w:color="auto"/>
            <w:bottom w:val="none" w:sz="0" w:space="0" w:color="auto"/>
            <w:right w:val="none" w:sz="0" w:space="0" w:color="auto"/>
          </w:divBdr>
        </w:div>
        <w:div w:id="805658405">
          <w:marLeft w:val="0"/>
          <w:marRight w:val="0"/>
          <w:marTop w:val="0"/>
          <w:marBottom w:val="0"/>
          <w:divBdr>
            <w:top w:val="none" w:sz="0" w:space="0" w:color="auto"/>
            <w:left w:val="none" w:sz="0" w:space="0" w:color="auto"/>
            <w:bottom w:val="none" w:sz="0" w:space="0" w:color="auto"/>
            <w:right w:val="none" w:sz="0" w:space="0" w:color="auto"/>
          </w:divBdr>
          <w:divsChild>
            <w:div w:id="1510486501">
              <w:marLeft w:val="0"/>
              <w:marRight w:val="0"/>
              <w:marTop w:val="0"/>
              <w:marBottom w:val="0"/>
              <w:divBdr>
                <w:top w:val="none" w:sz="0" w:space="0" w:color="auto"/>
                <w:left w:val="none" w:sz="0" w:space="0" w:color="auto"/>
                <w:bottom w:val="none" w:sz="0" w:space="0" w:color="auto"/>
                <w:right w:val="none" w:sz="0" w:space="0" w:color="auto"/>
              </w:divBdr>
            </w:div>
          </w:divsChild>
        </w:div>
        <w:div w:id="1437753101">
          <w:marLeft w:val="0"/>
          <w:marRight w:val="0"/>
          <w:marTop w:val="0"/>
          <w:marBottom w:val="0"/>
          <w:divBdr>
            <w:top w:val="none" w:sz="0" w:space="0" w:color="auto"/>
            <w:left w:val="none" w:sz="0" w:space="0" w:color="auto"/>
            <w:bottom w:val="none" w:sz="0" w:space="0" w:color="auto"/>
            <w:right w:val="none" w:sz="0" w:space="0" w:color="auto"/>
          </w:divBdr>
          <w:divsChild>
            <w:div w:id="1034237237">
              <w:marLeft w:val="0"/>
              <w:marRight w:val="0"/>
              <w:marTop w:val="0"/>
              <w:marBottom w:val="0"/>
              <w:divBdr>
                <w:top w:val="none" w:sz="0" w:space="0" w:color="auto"/>
                <w:left w:val="none" w:sz="0" w:space="0" w:color="auto"/>
                <w:bottom w:val="none" w:sz="0" w:space="0" w:color="auto"/>
                <w:right w:val="none" w:sz="0" w:space="0" w:color="auto"/>
              </w:divBdr>
            </w:div>
          </w:divsChild>
        </w:div>
        <w:div w:id="699628134">
          <w:marLeft w:val="0"/>
          <w:marRight w:val="0"/>
          <w:marTop w:val="0"/>
          <w:marBottom w:val="0"/>
          <w:divBdr>
            <w:top w:val="none" w:sz="0" w:space="0" w:color="auto"/>
            <w:left w:val="none" w:sz="0" w:space="0" w:color="auto"/>
            <w:bottom w:val="none" w:sz="0" w:space="0" w:color="auto"/>
            <w:right w:val="none" w:sz="0" w:space="0" w:color="auto"/>
          </w:divBdr>
          <w:divsChild>
            <w:div w:id="268707857">
              <w:marLeft w:val="0"/>
              <w:marRight w:val="0"/>
              <w:marTop w:val="0"/>
              <w:marBottom w:val="0"/>
              <w:divBdr>
                <w:top w:val="none" w:sz="0" w:space="0" w:color="auto"/>
                <w:left w:val="none" w:sz="0" w:space="0" w:color="auto"/>
                <w:bottom w:val="none" w:sz="0" w:space="0" w:color="auto"/>
                <w:right w:val="none" w:sz="0" w:space="0" w:color="auto"/>
              </w:divBdr>
            </w:div>
          </w:divsChild>
        </w:div>
        <w:div w:id="1150636092">
          <w:marLeft w:val="0"/>
          <w:marRight w:val="0"/>
          <w:marTop w:val="0"/>
          <w:marBottom w:val="0"/>
          <w:divBdr>
            <w:top w:val="none" w:sz="0" w:space="0" w:color="auto"/>
            <w:left w:val="none" w:sz="0" w:space="0" w:color="auto"/>
            <w:bottom w:val="none" w:sz="0" w:space="0" w:color="auto"/>
            <w:right w:val="none" w:sz="0" w:space="0" w:color="auto"/>
          </w:divBdr>
          <w:divsChild>
            <w:div w:id="14721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8183">
      <w:bodyDiv w:val="1"/>
      <w:marLeft w:val="0"/>
      <w:marRight w:val="0"/>
      <w:marTop w:val="0"/>
      <w:marBottom w:val="0"/>
      <w:divBdr>
        <w:top w:val="none" w:sz="0" w:space="0" w:color="auto"/>
        <w:left w:val="none" w:sz="0" w:space="0" w:color="auto"/>
        <w:bottom w:val="none" w:sz="0" w:space="0" w:color="auto"/>
        <w:right w:val="none" w:sz="0" w:space="0" w:color="auto"/>
      </w:divBdr>
      <w:divsChild>
        <w:div w:id="1712874060">
          <w:marLeft w:val="0"/>
          <w:marRight w:val="0"/>
          <w:marTop w:val="0"/>
          <w:marBottom w:val="0"/>
          <w:divBdr>
            <w:top w:val="none" w:sz="0" w:space="0" w:color="auto"/>
            <w:left w:val="none" w:sz="0" w:space="0" w:color="auto"/>
            <w:bottom w:val="none" w:sz="0" w:space="0" w:color="auto"/>
            <w:right w:val="none" w:sz="0" w:space="0" w:color="auto"/>
          </w:divBdr>
          <w:divsChild>
            <w:div w:id="1791166464">
              <w:marLeft w:val="0"/>
              <w:marRight w:val="0"/>
              <w:marTop w:val="0"/>
              <w:marBottom w:val="0"/>
              <w:divBdr>
                <w:top w:val="none" w:sz="0" w:space="0" w:color="auto"/>
                <w:left w:val="none" w:sz="0" w:space="0" w:color="auto"/>
                <w:bottom w:val="none" w:sz="0" w:space="0" w:color="auto"/>
                <w:right w:val="none" w:sz="0" w:space="0" w:color="auto"/>
              </w:divBdr>
            </w:div>
          </w:divsChild>
        </w:div>
        <w:div w:id="1800566189">
          <w:marLeft w:val="0"/>
          <w:marRight w:val="0"/>
          <w:marTop w:val="0"/>
          <w:marBottom w:val="0"/>
          <w:divBdr>
            <w:top w:val="none" w:sz="0" w:space="0" w:color="auto"/>
            <w:left w:val="none" w:sz="0" w:space="0" w:color="auto"/>
            <w:bottom w:val="none" w:sz="0" w:space="0" w:color="auto"/>
            <w:right w:val="none" w:sz="0" w:space="0" w:color="auto"/>
          </w:divBdr>
          <w:divsChild>
            <w:div w:id="7050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3035">
      <w:bodyDiv w:val="1"/>
      <w:marLeft w:val="0"/>
      <w:marRight w:val="0"/>
      <w:marTop w:val="0"/>
      <w:marBottom w:val="0"/>
      <w:divBdr>
        <w:top w:val="none" w:sz="0" w:space="0" w:color="auto"/>
        <w:left w:val="none" w:sz="0" w:space="0" w:color="auto"/>
        <w:bottom w:val="none" w:sz="0" w:space="0" w:color="auto"/>
        <w:right w:val="none" w:sz="0" w:space="0" w:color="auto"/>
      </w:divBdr>
      <w:divsChild>
        <w:div w:id="1572348601">
          <w:marLeft w:val="0"/>
          <w:marRight w:val="0"/>
          <w:marTop w:val="0"/>
          <w:marBottom w:val="0"/>
          <w:divBdr>
            <w:top w:val="none" w:sz="0" w:space="0" w:color="auto"/>
            <w:left w:val="none" w:sz="0" w:space="0" w:color="auto"/>
            <w:bottom w:val="none" w:sz="0" w:space="0" w:color="auto"/>
            <w:right w:val="none" w:sz="0" w:space="0" w:color="auto"/>
          </w:divBdr>
          <w:divsChild>
            <w:div w:id="1432971634">
              <w:marLeft w:val="0"/>
              <w:marRight w:val="0"/>
              <w:marTop w:val="0"/>
              <w:marBottom w:val="0"/>
              <w:divBdr>
                <w:top w:val="none" w:sz="0" w:space="0" w:color="auto"/>
                <w:left w:val="none" w:sz="0" w:space="0" w:color="auto"/>
                <w:bottom w:val="none" w:sz="0" w:space="0" w:color="auto"/>
                <w:right w:val="none" w:sz="0" w:space="0" w:color="auto"/>
              </w:divBdr>
            </w:div>
          </w:divsChild>
        </w:div>
        <w:div w:id="1828662996">
          <w:marLeft w:val="0"/>
          <w:marRight w:val="0"/>
          <w:marTop w:val="0"/>
          <w:marBottom w:val="0"/>
          <w:divBdr>
            <w:top w:val="none" w:sz="0" w:space="0" w:color="auto"/>
            <w:left w:val="none" w:sz="0" w:space="0" w:color="auto"/>
            <w:bottom w:val="none" w:sz="0" w:space="0" w:color="auto"/>
            <w:right w:val="none" w:sz="0" w:space="0" w:color="auto"/>
          </w:divBdr>
          <w:divsChild>
            <w:div w:id="4465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6401">
      <w:bodyDiv w:val="1"/>
      <w:marLeft w:val="0"/>
      <w:marRight w:val="0"/>
      <w:marTop w:val="0"/>
      <w:marBottom w:val="0"/>
      <w:divBdr>
        <w:top w:val="none" w:sz="0" w:space="0" w:color="auto"/>
        <w:left w:val="none" w:sz="0" w:space="0" w:color="auto"/>
        <w:bottom w:val="none" w:sz="0" w:space="0" w:color="auto"/>
        <w:right w:val="none" w:sz="0" w:space="0" w:color="auto"/>
      </w:divBdr>
      <w:divsChild>
        <w:div w:id="1913929950">
          <w:marLeft w:val="0"/>
          <w:marRight w:val="0"/>
          <w:marTop w:val="0"/>
          <w:marBottom w:val="0"/>
          <w:divBdr>
            <w:top w:val="none" w:sz="0" w:space="0" w:color="auto"/>
            <w:left w:val="none" w:sz="0" w:space="0" w:color="auto"/>
            <w:bottom w:val="none" w:sz="0" w:space="0" w:color="auto"/>
            <w:right w:val="none" w:sz="0" w:space="0" w:color="auto"/>
          </w:divBdr>
          <w:divsChild>
            <w:div w:id="1375808521">
              <w:marLeft w:val="0"/>
              <w:marRight w:val="0"/>
              <w:marTop w:val="0"/>
              <w:marBottom w:val="0"/>
              <w:divBdr>
                <w:top w:val="none" w:sz="0" w:space="0" w:color="auto"/>
                <w:left w:val="none" w:sz="0" w:space="0" w:color="auto"/>
                <w:bottom w:val="none" w:sz="0" w:space="0" w:color="auto"/>
                <w:right w:val="none" w:sz="0" w:space="0" w:color="auto"/>
              </w:divBdr>
            </w:div>
            <w:div w:id="1415010617">
              <w:marLeft w:val="0"/>
              <w:marRight w:val="0"/>
              <w:marTop w:val="0"/>
              <w:marBottom w:val="0"/>
              <w:divBdr>
                <w:top w:val="none" w:sz="0" w:space="0" w:color="auto"/>
                <w:left w:val="none" w:sz="0" w:space="0" w:color="auto"/>
                <w:bottom w:val="none" w:sz="0" w:space="0" w:color="auto"/>
                <w:right w:val="none" w:sz="0" w:space="0" w:color="auto"/>
              </w:divBdr>
              <w:divsChild>
                <w:div w:id="77797129">
                  <w:marLeft w:val="0"/>
                  <w:marRight w:val="0"/>
                  <w:marTop w:val="0"/>
                  <w:marBottom w:val="0"/>
                  <w:divBdr>
                    <w:top w:val="none" w:sz="0" w:space="0" w:color="auto"/>
                    <w:left w:val="none" w:sz="0" w:space="0" w:color="auto"/>
                    <w:bottom w:val="none" w:sz="0" w:space="0" w:color="auto"/>
                    <w:right w:val="none" w:sz="0" w:space="0" w:color="auto"/>
                  </w:divBdr>
                  <w:divsChild>
                    <w:div w:id="1768312237">
                      <w:blockQuote w:val="1"/>
                      <w:marLeft w:val="0"/>
                      <w:marRight w:val="0"/>
                      <w:marTop w:val="0"/>
                      <w:marBottom w:val="0"/>
                      <w:divBdr>
                        <w:top w:val="none" w:sz="0" w:space="0" w:color="auto"/>
                        <w:left w:val="none" w:sz="0" w:space="0" w:color="auto"/>
                        <w:bottom w:val="none" w:sz="0" w:space="0" w:color="auto"/>
                        <w:right w:val="none" w:sz="0" w:space="0" w:color="auto"/>
                      </w:divBdr>
                      <w:divsChild>
                        <w:div w:id="18137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0046">
          <w:marLeft w:val="0"/>
          <w:marRight w:val="0"/>
          <w:marTop w:val="0"/>
          <w:marBottom w:val="0"/>
          <w:divBdr>
            <w:top w:val="none" w:sz="0" w:space="0" w:color="auto"/>
            <w:left w:val="none" w:sz="0" w:space="0" w:color="auto"/>
            <w:bottom w:val="none" w:sz="0" w:space="0" w:color="auto"/>
            <w:right w:val="none" w:sz="0" w:space="0" w:color="auto"/>
          </w:divBdr>
          <w:divsChild>
            <w:div w:id="564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92641">
      <w:bodyDiv w:val="1"/>
      <w:marLeft w:val="0"/>
      <w:marRight w:val="0"/>
      <w:marTop w:val="0"/>
      <w:marBottom w:val="0"/>
      <w:divBdr>
        <w:top w:val="none" w:sz="0" w:space="0" w:color="auto"/>
        <w:left w:val="none" w:sz="0" w:space="0" w:color="auto"/>
        <w:bottom w:val="none" w:sz="0" w:space="0" w:color="auto"/>
        <w:right w:val="none" w:sz="0" w:space="0" w:color="auto"/>
      </w:divBdr>
      <w:divsChild>
        <w:div w:id="173149415">
          <w:marLeft w:val="0"/>
          <w:marRight w:val="0"/>
          <w:marTop w:val="0"/>
          <w:marBottom w:val="0"/>
          <w:divBdr>
            <w:top w:val="none" w:sz="0" w:space="0" w:color="auto"/>
            <w:left w:val="none" w:sz="0" w:space="0" w:color="auto"/>
            <w:bottom w:val="none" w:sz="0" w:space="0" w:color="auto"/>
            <w:right w:val="none" w:sz="0" w:space="0" w:color="auto"/>
          </w:divBdr>
        </w:div>
        <w:div w:id="2023121289">
          <w:marLeft w:val="0"/>
          <w:marRight w:val="0"/>
          <w:marTop w:val="0"/>
          <w:marBottom w:val="0"/>
          <w:divBdr>
            <w:top w:val="none" w:sz="0" w:space="0" w:color="auto"/>
            <w:left w:val="none" w:sz="0" w:space="0" w:color="auto"/>
            <w:bottom w:val="none" w:sz="0" w:space="0" w:color="auto"/>
            <w:right w:val="none" w:sz="0" w:space="0" w:color="auto"/>
          </w:divBdr>
          <w:divsChild>
            <w:div w:id="1979802360">
              <w:marLeft w:val="0"/>
              <w:marRight w:val="0"/>
              <w:marTop w:val="0"/>
              <w:marBottom w:val="0"/>
              <w:divBdr>
                <w:top w:val="none" w:sz="0" w:space="0" w:color="auto"/>
                <w:left w:val="none" w:sz="0" w:space="0" w:color="auto"/>
                <w:bottom w:val="none" w:sz="0" w:space="0" w:color="auto"/>
                <w:right w:val="none" w:sz="0" w:space="0" w:color="auto"/>
              </w:divBdr>
            </w:div>
          </w:divsChild>
        </w:div>
        <w:div w:id="1387489899">
          <w:marLeft w:val="0"/>
          <w:marRight w:val="0"/>
          <w:marTop w:val="0"/>
          <w:marBottom w:val="0"/>
          <w:divBdr>
            <w:top w:val="none" w:sz="0" w:space="0" w:color="auto"/>
            <w:left w:val="none" w:sz="0" w:space="0" w:color="auto"/>
            <w:bottom w:val="none" w:sz="0" w:space="0" w:color="auto"/>
            <w:right w:val="none" w:sz="0" w:space="0" w:color="auto"/>
          </w:divBdr>
          <w:divsChild>
            <w:div w:id="2004048831">
              <w:marLeft w:val="0"/>
              <w:marRight w:val="0"/>
              <w:marTop w:val="0"/>
              <w:marBottom w:val="0"/>
              <w:divBdr>
                <w:top w:val="none" w:sz="0" w:space="0" w:color="auto"/>
                <w:left w:val="none" w:sz="0" w:space="0" w:color="auto"/>
                <w:bottom w:val="none" w:sz="0" w:space="0" w:color="auto"/>
                <w:right w:val="none" w:sz="0" w:space="0" w:color="auto"/>
              </w:divBdr>
            </w:div>
          </w:divsChild>
        </w:div>
        <w:div w:id="1884978133">
          <w:marLeft w:val="0"/>
          <w:marRight w:val="0"/>
          <w:marTop w:val="0"/>
          <w:marBottom w:val="0"/>
          <w:divBdr>
            <w:top w:val="none" w:sz="0" w:space="0" w:color="auto"/>
            <w:left w:val="none" w:sz="0" w:space="0" w:color="auto"/>
            <w:bottom w:val="none" w:sz="0" w:space="0" w:color="auto"/>
            <w:right w:val="none" w:sz="0" w:space="0" w:color="auto"/>
          </w:divBdr>
          <w:divsChild>
            <w:div w:id="644696749">
              <w:marLeft w:val="0"/>
              <w:marRight w:val="0"/>
              <w:marTop w:val="0"/>
              <w:marBottom w:val="0"/>
              <w:divBdr>
                <w:top w:val="none" w:sz="0" w:space="0" w:color="auto"/>
                <w:left w:val="none" w:sz="0" w:space="0" w:color="auto"/>
                <w:bottom w:val="none" w:sz="0" w:space="0" w:color="auto"/>
                <w:right w:val="none" w:sz="0" w:space="0" w:color="auto"/>
              </w:divBdr>
            </w:div>
          </w:divsChild>
        </w:div>
        <w:div w:id="1366057035">
          <w:marLeft w:val="0"/>
          <w:marRight w:val="0"/>
          <w:marTop w:val="0"/>
          <w:marBottom w:val="0"/>
          <w:divBdr>
            <w:top w:val="none" w:sz="0" w:space="0" w:color="auto"/>
            <w:left w:val="none" w:sz="0" w:space="0" w:color="auto"/>
            <w:bottom w:val="none" w:sz="0" w:space="0" w:color="auto"/>
            <w:right w:val="none" w:sz="0" w:space="0" w:color="auto"/>
          </w:divBdr>
          <w:divsChild>
            <w:div w:id="11700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097">
      <w:bodyDiv w:val="1"/>
      <w:marLeft w:val="0"/>
      <w:marRight w:val="0"/>
      <w:marTop w:val="0"/>
      <w:marBottom w:val="0"/>
      <w:divBdr>
        <w:top w:val="none" w:sz="0" w:space="0" w:color="auto"/>
        <w:left w:val="none" w:sz="0" w:space="0" w:color="auto"/>
        <w:bottom w:val="none" w:sz="0" w:space="0" w:color="auto"/>
        <w:right w:val="none" w:sz="0" w:space="0" w:color="auto"/>
      </w:divBdr>
      <w:divsChild>
        <w:div w:id="1669137023">
          <w:marLeft w:val="0"/>
          <w:marRight w:val="0"/>
          <w:marTop w:val="0"/>
          <w:marBottom w:val="0"/>
          <w:divBdr>
            <w:top w:val="none" w:sz="0" w:space="0" w:color="auto"/>
            <w:left w:val="none" w:sz="0" w:space="0" w:color="auto"/>
            <w:bottom w:val="none" w:sz="0" w:space="0" w:color="auto"/>
            <w:right w:val="none" w:sz="0" w:space="0" w:color="auto"/>
          </w:divBdr>
          <w:divsChild>
            <w:div w:id="2022585430">
              <w:marLeft w:val="0"/>
              <w:marRight w:val="0"/>
              <w:marTop w:val="0"/>
              <w:marBottom w:val="0"/>
              <w:divBdr>
                <w:top w:val="none" w:sz="0" w:space="0" w:color="auto"/>
                <w:left w:val="none" w:sz="0" w:space="0" w:color="auto"/>
                <w:bottom w:val="none" w:sz="0" w:space="0" w:color="auto"/>
                <w:right w:val="none" w:sz="0" w:space="0" w:color="auto"/>
              </w:divBdr>
            </w:div>
          </w:divsChild>
        </w:div>
        <w:div w:id="258097909">
          <w:marLeft w:val="0"/>
          <w:marRight w:val="0"/>
          <w:marTop w:val="0"/>
          <w:marBottom w:val="0"/>
          <w:divBdr>
            <w:top w:val="none" w:sz="0" w:space="0" w:color="auto"/>
            <w:left w:val="none" w:sz="0" w:space="0" w:color="auto"/>
            <w:bottom w:val="none" w:sz="0" w:space="0" w:color="auto"/>
            <w:right w:val="none" w:sz="0" w:space="0" w:color="auto"/>
          </w:divBdr>
          <w:divsChild>
            <w:div w:id="9663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807">
      <w:bodyDiv w:val="1"/>
      <w:marLeft w:val="0"/>
      <w:marRight w:val="0"/>
      <w:marTop w:val="0"/>
      <w:marBottom w:val="0"/>
      <w:divBdr>
        <w:top w:val="none" w:sz="0" w:space="0" w:color="auto"/>
        <w:left w:val="none" w:sz="0" w:space="0" w:color="auto"/>
        <w:bottom w:val="none" w:sz="0" w:space="0" w:color="auto"/>
        <w:right w:val="none" w:sz="0" w:space="0" w:color="auto"/>
      </w:divBdr>
      <w:divsChild>
        <w:div w:id="1592547082">
          <w:marLeft w:val="0"/>
          <w:marRight w:val="0"/>
          <w:marTop w:val="0"/>
          <w:marBottom w:val="0"/>
          <w:divBdr>
            <w:top w:val="none" w:sz="0" w:space="0" w:color="auto"/>
            <w:left w:val="none" w:sz="0" w:space="0" w:color="auto"/>
            <w:bottom w:val="none" w:sz="0" w:space="0" w:color="auto"/>
            <w:right w:val="none" w:sz="0" w:space="0" w:color="auto"/>
          </w:divBdr>
        </w:div>
        <w:div w:id="1274745783">
          <w:marLeft w:val="0"/>
          <w:marRight w:val="0"/>
          <w:marTop w:val="240"/>
          <w:marBottom w:val="0"/>
          <w:divBdr>
            <w:top w:val="none" w:sz="0" w:space="0" w:color="auto"/>
            <w:left w:val="none" w:sz="0" w:space="0" w:color="auto"/>
            <w:bottom w:val="none" w:sz="0" w:space="0" w:color="auto"/>
            <w:right w:val="none" w:sz="0" w:space="0" w:color="auto"/>
          </w:divBdr>
          <w:divsChild>
            <w:div w:id="389158145">
              <w:marLeft w:val="0"/>
              <w:marRight w:val="0"/>
              <w:marTop w:val="0"/>
              <w:marBottom w:val="0"/>
              <w:divBdr>
                <w:top w:val="none" w:sz="0" w:space="0" w:color="auto"/>
                <w:left w:val="none" w:sz="0" w:space="0" w:color="auto"/>
                <w:bottom w:val="none" w:sz="0" w:space="0" w:color="auto"/>
                <w:right w:val="none" w:sz="0" w:space="0" w:color="auto"/>
              </w:divBdr>
              <w:divsChild>
                <w:div w:id="1404451458">
                  <w:marLeft w:val="0"/>
                  <w:marRight w:val="0"/>
                  <w:marTop w:val="0"/>
                  <w:marBottom w:val="0"/>
                  <w:divBdr>
                    <w:top w:val="none" w:sz="0" w:space="0" w:color="auto"/>
                    <w:left w:val="none" w:sz="0" w:space="0" w:color="auto"/>
                    <w:bottom w:val="none" w:sz="0" w:space="0" w:color="auto"/>
                    <w:right w:val="none" w:sz="0" w:space="0" w:color="auto"/>
                  </w:divBdr>
                  <w:divsChild>
                    <w:div w:id="12619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18282">
      <w:bodyDiv w:val="1"/>
      <w:marLeft w:val="0"/>
      <w:marRight w:val="0"/>
      <w:marTop w:val="0"/>
      <w:marBottom w:val="0"/>
      <w:divBdr>
        <w:top w:val="none" w:sz="0" w:space="0" w:color="auto"/>
        <w:left w:val="none" w:sz="0" w:space="0" w:color="auto"/>
        <w:bottom w:val="none" w:sz="0" w:space="0" w:color="auto"/>
        <w:right w:val="none" w:sz="0" w:space="0" w:color="auto"/>
      </w:divBdr>
      <w:divsChild>
        <w:div w:id="896936183">
          <w:marLeft w:val="0"/>
          <w:marRight w:val="0"/>
          <w:marTop w:val="0"/>
          <w:marBottom w:val="0"/>
          <w:divBdr>
            <w:top w:val="none" w:sz="0" w:space="0" w:color="auto"/>
            <w:left w:val="none" w:sz="0" w:space="0" w:color="auto"/>
            <w:bottom w:val="none" w:sz="0" w:space="0" w:color="auto"/>
            <w:right w:val="none" w:sz="0" w:space="0" w:color="auto"/>
          </w:divBdr>
        </w:div>
        <w:div w:id="1287933934">
          <w:marLeft w:val="0"/>
          <w:marRight w:val="0"/>
          <w:marTop w:val="240"/>
          <w:marBottom w:val="0"/>
          <w:divBdr>
            <w:top w:val="none" w:sz="0" w:space="0" w:color="auto"/>
            <w:left w:val="none" w:sz="0" w:space="0" w:color="auto"/>
            <w:bottom w:val="none" w:sz="0" w:space="0" w:color="auto"/>
            <w:right w:val="none" w:sz="0" w:space="0" w:color="auto"/>
          </w:divBdr>
          <w:divsChild>
            <w:div w:id="1409156892">
              <w:marLeft w:val="0"/>
              <w:marRight w:val="0"/>
              <w:marTop w:val="0"/>
              <w:marBottom w:val="0"/>
              <w:divBdr>
                <w:top w:val="none" w:sz="0" w:space="0" w:color="auto"/>
                <w:left w:val="none" w:sz="0" w:space="0" w:color="auto"/>
                <w:bottom w:val="none" w:sz="0" w:space="0" w:color="auto"/>
                <w:right w:val="none" w:sz="0" w:space="0" w:color="auto"/>
              </w:divBdr>
              <w:divsChild>
                <w:div w:id="934627815">
                  <w:marLeft w:val="0"/>
                  <w:marRight w:val="0"/>
                  <w:marTop w:val="0"/>
                  <w:marBottom w:val="0"/>
                  <w:divBdr>
                    <w:top w:val="none" w:sz="0" w:space="0" w:color="auto"/>
                    <w:left w:val="none" w:sz="0" w:space="0" w:color="auto"/>
                    <w:bottom w:val="none" w:sz="0" w:space="0" w:color="auto"/>
                    <w:right w:val="none" w:sz="0" w:space="0" w:color="auto"/>
                  </w:divBdr>
                  <w:divsChild>
                    <w:div w:id="7930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AppData\Roaming\Microsoft\Templates\Template%20-%20Episode%20No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2D3-CB14-48F6-AC02-A1AE2AC7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Episode Notes</Template>
  <TotalTime>7</TotalTime>
  <Pages>13</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Padgett</dc:creator>
  <cp:keywords/>
  <dc:description/>
  <cp:lastModifiedBy>Wade Padgett</cp:lastModifiedBy>
  <cp:revision>2</cp:revision>
  <dcterms:created xsi:type="dcterms:W3CDTF">2021-07-04T21:04:00Z</dcterms:created>
  <dcterms:modified xsi:type="dcterms:W3CDTF">2021-07-04T21:04:00Z</dcterms:modified>
</cp:coreProperties>
</file>