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3B0" w14:textId="77777777" w:rsidR="00612880" w:rsidRPr="00FB4CCB" w:rsidRDefault="00240ED5" w:rsidP="00A45C29">
      <w:pPr>
        <w:spacing w:line="480" w:lineRule="auto"/>
      </w:pPr>
      <w:r w:rsidRPr="00FB4CCB">
        <w:t xml:space="preserve">Hello Folks and welcome back to the </w:t>
      </w:r>
      <w:r w:rsidR="00603910" w:rsidRPr="00FB4CCB">
        <w:t>Good Judge-</w:t>
      </w:r>
      <w:proofErr w:type="spellStart"/>
      <w:r w:rsidR="00603910" w:rsidRPr="00FB4CCB">
        <w:t>Ment</w:t>
      </w:r>
      <w:proofErr w:type="spellEnd"/>
      <w:r w:rsidR="00603910" w:rsidRPr="00FB4CCB">
        <w:t xml:space="preserve"> podcast.  I am Wade Padgett.</w:t>
      </w:r>
    </w:p>
    <w:p w14:paraId="0929C88A" w14:textId="237D0650" w:rsidR="00603910" w:rsidRPr="00FB4CCB" w:rsidRDefault="00603910" w:rsidP="00A45C29">
      <w:pPr>
        <w:spacing w:line="480" w:lineRule="auto"/>
      </w:pPr>
      <w:r w:rsidRPr="00FB4CCB">
        <w:rPr>
          <w:i/>
          <w:iCs/>
        </w:rPr>
        <w:t xml:space="preserve">And I am Tain Kell.  </w:t>
      </w:r>
      <w:r w:rsidR="0089200E">
        <w:rPr>
          <w:i/>
          <w:iCs/>
        </w:rPr>
        <w:t>We remain on ZOOM for this episode, much to the disappointment of my taste buds,  Places likes the Taco Stand, the Mayflower Restaurant on Broad St. – man I miss Athens.</w:t>
      </w:r>
      <w:r w:rsidR="00240ED5" w:rsidRPr="00FB4CCB">
        <w:rPr>
          <w:i/>
          <w:iCs/>
        </w:rPr>
        <w:t xml:space="preserve">  </w:t>
      </w:r>
    </w:p>
    <w:p w14:paraId="750227CD" w14:textId="68105AD9" w:rsidR="00065E1F" w:rsidRPr="00FB4CCB" w:rsidRDefault="0089200E" w:rsidP="00A45C29">
      <w:pPr>
        <w:spacing w:line="480" w:lineRule="auto"/>
      </w:pPr>
      <w:r>
        <w:t>You will be ok buddy! Just hang in there a little while longer and we will return to all of the fun and good food that Athens has to offer.  But we need to work through this evidence series and we have an interesting topic to discuss today, don’t we</w:t>
      </w:r>
      <w:r w:rsidR="00A467F8">
        <w:t>?</w:t>
      </w:r>
    </w:p>
    <w:p w14:paraId="726D1E60" w14:textId="6F98FE5E" w:rsidR="00065E1F" w:rsidRPr="004649F4" w:rsidRDefault="0089200E" w:rsidP="00A45C29">
      <w:pPr>
        <w:spacing w:line="480" w:lineRule="auto"/>
      </w:pPr>
      <w:r>
        <w:rPr>
          <w:i/>
          <w:iCs/>
        </w:rPr>
        <w:t>That’s right!  Confessions and custodial statements</w:t>
      </w:r>
      <w:r w:rsidR="00B62727">
        <w:rPr>
          <w:i/>
          <w:iCs/>
        </w:rPr>
        <w:t>. These issues frequently arise as part of criminal pretrial proceedings</w:t>
      </w:r>
      <w:r w:rsidR="004649F4">
        <w:rPr>
          <w:i/>
          <w:iCs/>
        </w:rPr>
        <w:t>, usually involving a hearing under Jackson v. Denno.</w:t>
      </w:r>
    </w:p>
    <w:p w14:paraId="7C0D1A49" w14:textId="6EA8D71B" w:rsidR="00D730C5" w:rsidRPr="00FB4CCB" w:rsidRDefault="00B62727" w:rsidP="00A45C29">
      <w:pPr>
        <w:spacing w:line="480" w:lineRule="auto"/>
      </w:pPr>
      <w:r>
        <w:t>Earlier in this series, we focused on the “process” of addressing evidence objections.  Today we are going to hone in on one particular type of objection</w:t>
      </w:r>
      <w:r w:rsidR="00D84F24">
        <w:t xml:space="preserve"> and </w:t>
      </w:r>
      <w:r w:rsidR="00CB60AA">
        <w:t>a couple of specific</w:t>
      </w:r>
      <w:r w:rsidR="00D84F24">
        <w:t xml:space="preserve"> rule</w:t>
      </w:r>
      <w:r w:rsidR="00CB60AA">
        <w:t>s</w:t>
      </w:r>
      <w:r w:rsidR="00D84F24">
        <w:t>, §</w:t>
      </w:r>
      <w:r w:rsidR="00AC7E2B">
        <w:t>§</w:t>
      </w:r>
      <w:r w:rsidR="00D84F24">
        <w:t>24-8-82</w:t>
      </w:r>
      <w:r w:rsidR="00AC7E2B">
        <w:t>3</w:t>
      </w:r>
      <w:r w:rsidR="00A467F8">
        <w:t xml:space="preserve">, </w:t>
      </w:r>
      <w:r w:rsidR="00AC7E2B">
        <w:t>824</w:t>
      </w:r>
      <w:r w:rsidR="00A467F8">
        <w:t xml:space="preserve"> and 825.</w:t>
      </w:r>
    </w:p>
    <w:p w14:paraId="1DA3BBA5" w14:textId="77777777" w:rsidR="00D84F24" w:rsidRDefault="002F37ED" w:rsidP="00A45C29">
      <w:pPr>
        <w:spacing w:line="480" w:lineRule="auto"/>
        <w:rPr>
          <w:i/>
          <w:iCs/>
        </w:rPr>
      </w:pPr>
      <w:r w:rsidRPr="005A7A5D">
        <w:rPr>
          <w:i/>
          <w:iCs/>
        </w:rPr>
        <w:t>Let’s get started.</w:t>
      </w:r>
    </w:p>
    <w:p w14:paraId="07E09CF6" w14:textId="77777777" w:rsidR="00D84F24" w:rsidRDefault="00D84F24" w:rsidP="00D84F24">
      <w:pPr>
        <w:spacing w:line="480" w:lineRule="auto"/>
        <w:rPr>
          <w:iCs/>
        </w:rPr>
      </w:pPr>
      <w:r>
        <w:rPr>
          <w:b/>
          <w:bCs/>
          <w:iCs/>
        </w:rPr>
        <w:t>[end scripted portion]</w:t>
      </w:r>
    </w:p>
    <w:p w14:paraId="7D1489F5" w14:textId="2D627572" w:rsidR="006075E5" w:rsidRPr="00FB4CCB" w:rsidRDefault="00767FC9" w:rsidP="00A45C29">
      <w:pPr>
        <w:spacing w:line="480" w:lineRule="auto"/>
      </w:pPr>
      <w:r>
        <w:pict w14:anchorId="3211B3E6">
          <v:rect id="_x0000_i1025" style="width:0;height:1.5pt" o:hralign="center" o:hrstd="t" o:hr="t" fillcolor="#a0a0a0" stroked="f"/>
        </w:pict>
      </w:r>
    </w:p>
    <w:p w14:paraId="56822CDF" w14:textId="49119DD3" w:rsidR="002A7CAF" w:rsidRDefault="00AC2A8C" w:rsidP="00D84F24">
      <w:pPr>
        <w:spacing w:line="480" w:lineRule="auto"/>
        <w:ind w:left="720" w:hanging="720"/>
        <w:rPr>
          <w:iCs/>
        </w:rPr>
      </w:pPr>
      <w:r>
        <w:rPr>
          <w:iCs/>
        </w:rPr>
        <w:lastRenderedPageBreak/>
        <w:t>-</w:t>
      </w:r>
      <w:r>
        <w:rPr>
          <w:iCs/>
        </w:rPr>
        <w:tab/>
      </w:r>
      <w:r w:rsidR="002A7CAF">
        <w:rPr>
          <w:iCs/>
        </w:rPr>
        <w:t xml:space="preserve">PREFACE- we are going to record an entirely separate episode on </w:t>
      </w:r>
      <w:r w:rsidR="002A7CAF">
        <w:rPr>
          <w:i/>
        </w:rPr>
        <w:t xml:space="preserve">Jackson v. Denno </w:t>
      </w:r>
      <w:r w:rsidR="002A7CAF">
        <w:rPr>
          <w:iCs/>
        </w:rPr>
        <w:t>hearings</w:t>
      </w:r>
      <w:r w:rsidR="00A467F8">
        <w:rPr>
          <w:iCs/>
        </w:rPr>
        <w:t>.  We may also have time to discuss</w:t>
      </w:r>
      <w:r w:rsidR="002A7CAF">
        <w:rPr>
          <w:iCs/>
        </w:rPr>
        <w:t xml:space="preserve"> confessions by juvenile suspects.  Today’s episode will fit hand-in-glove with that </w:t>
      </w:r>
      <w:r w:rsidR="00A467F8">
        <w:rPr>
          <w:i/>
        </w:rPr>
        <w:t>Jackson v. Denno</w:t>
      </w:r>
      <w:r w:rsidR="00A467F8">
        <w:rPr>
          <w:iCs/>
        </w:rPr>
        <w:t xml:space="preserve"> </w:t>
      </w:r>
      <w:r w:rsidR="002A7CAF">
        <w:rPr>
          <w:iCs/>
        </w:rPr>
        <w:t xml:space="preserve">episode </w:t>
      </w:r>
      <w:r w:rsidR="00A467F8">
        <w:rPr>
          <w:iCs/>
        </w:rPr>
        <w:t xml:space="preserve">(as we will discuss in a few minutes) </w:t>
      </w:r>
      <w:r w:rsidR="002A7CAF">
        <w:rPr>
          <w:iCs/>
        </w:rPr>
        <w:t xml:space="preserve">but we want these </w:t>
      </w:r>
      <w:r w:rsidR="00A467F8">
        <w:rPr>
          <w:iCs/>
        </w:rPr>
        <w:t xml:space="preserve">episodes </w:t>
      </w:r>
      <w:r w:rsidR="002A7CAF">
        <w:rPr>
          <w:iCs/>
        </w:rPr>
        <w:t xml:space="preserve">to be shorter, </w:t>
      </w:r>
      <w:r w:rsidR="00A467F8">
        <w:rPr>
          <w:iCs/>
        </w:rPr>
        <w:t xml:space="preserve">and more </w:t>
      </w:r>
      <w:r w:rsidR="002A7CAF">
        <w:rPr>
          <w:iCs/>
        </w:rPr>
        <w:t xml:space="preserve">to the point, </w:t>
      </w:r>
      <w:r w:rsidR="00A467F8">
        <w:rPr>
          <w:iCs/>
        </w:rPr>
        <w:t>allowing us to</w:t>
      </w:r>
      <w:r w:rsidR="002A7CAF">
        <w:rPr>
          <w:iCs/>
        </w:rPr>
        <w:t xml:space="preserve"> focus on the rules that impact your decisions in </w:t>
      </w:r>
      <w:r w:rsidR="002A7CAF">
        <w:rPr>
          <w:i/>
        </w:rPr>
        <w:t>Jackson v. Denno</w:t>
      </w:r>
      <w:r w:rsidR="002A7CAF">
        <w:rPr>
          <w:iCs/>
        </w:rPr>
        <w:t xml:space="preserve"> hearings.  Admittedly, </w:t>
      </w:r>
      <w:r w:rsidR="00A467F8">
        <w:rPr>
          <w:iCs/>
        </w:rPr>
        <w:t xml:space="preserve">a </w:t>
      </w:r>
      <w:r w:rsidR="00A467F8">
        <w:rPr>
          <w:i/>
        </w:rPr>
        <w:t>Jackson v. Denno</w:t>
      </w:r>
      <w:r w:rsidR="00A467F8">
        <w:rPr>
          <w:iCs/>
        </w:rPr>
        <w:t xml:space="preserve"> hearing </w:t>
      </w:r>
      <w:r w:rsidR="002A7CAF">
        <w:rPr>
          <w:iCs/>
        </w:rPr>
        <w:t>is the setting where these issues will arise but we will address some of the other issues associated with those hearings in that separate episode.</w:t>
      </w:r>
    </w:p>
    <w:p w14:paraId="42CE24C6" w14:textId="4E43CB35" w:rsidR="002A7CAF" w:rsidRDefault="00767FC9" w:rsidP="00D84F24">
      <w:pPr>
        <w:spacing w:line="480" w:lineRule="auto"/>
        <w:ind w:left="720" w:hanging="720"/>
        <w:rPr>
          <w:iCs/>
        </w:rPr>
      </w:pPr>
      <w:r>
        <w:pict w14:anchorId="63A1B904">
          <v:rect id="_x0000_i1026" style="width:0;height:1.5pt" o:hralign="center" o:hrstd="t" o:hr="t" fillcolor="#a0a0a0" stroked="f"/>
        </w:pict>
      </w:r>
    </w:p>
    <w:p w14:paraId="57928C34" w14:textId="6F5E5AC2" w:rsidR="00906DCC" w:rsidRDefault="002A7CAF" w:rsidP="00D84F24">
      <w:pPr>
        <w:spacing w:line="480" w:lineRule="auto"/>
        <w:ind w:left="720" w:hanging="720"/>
        <w:rPr>
          <w:iCs/>
        </w:rPr>
      </w:pPr>
      <w:r>
        <w:rPr>
          <w:iCs/>
        </w:rPr>
        <w:t>-</w:t>
      </w:r>
      <w:r>
        <w:rPr>
          <w:iCs/>
        </w:rPr>
        <w:tab/>
      </w:r>
      <w:r w:rsidR="00D84F24">
        <w:rPr>
          <w:iCs/>
        </w:rPr>
        <w:t xml:space="preserve">I could not have told you there was a rule in the evidence code dealing with confessions – </w:t>
      </w:r>
      <w:r>
        <w:rPr>
          <w:iCs/>
        </w:rPr>
        <w:t xml:space="preserve">but these rules have been part of </w:t>
      </w:r>
      <w:r w:rsidR="00827F27">
        <w:rPr>
          <w:iCs/>
        </w:rPr>
        <w:t xml:space="preserve">Georgia’s </w:t>
      </w:r>
      <w:r>
        <w:rPr>
          <w:iCs/>
        </w:rPr>
        <w:t>Code for generations</w:t>
      </w:r>
      <w:r w:rsidR="00827F27">
        <w:rPr>
          <w:iCs/>
        </w:rPr>
        <w:t xml:space="preserve"> – just with different numbering.</w:t>
      </w:r>
    </w:p>
    <w:p w14:paraId="7586C707" w14:textId="11971BDA" w:rsidR="00906DCC" w:rsidRDefault="00906DCC" w:rsidP="00D84F24">
      <w:pPr>
        <w:spacing w:line="480" w:lineRule="auto"/>
        <w:ind w:left="720" w:hanging="720"/>
        <w:rPr>
          <w:iCs/>
        </w:rPr>
      </w:pPr>
      <w:r>
        <w:rPr>
          <w:iCs/>
        </w:rPr>
        <w:t>-</w:t>
      </w:r>
      <w:r>
        <w:rPr>
          <w:iCs/>
        </w:rPr>
        <w:tab/>
      </w:r>
      <w:r w:rsidRPr="004649F4">
        <w:rPr>
          <w:b/>
          <w:bCs/>
          <w:iCs/>
        </w:rPr>
        <w:t>Rule 823</w:t>
      </w:r>
      <w:r>
        <w:rPr>
          <w:iCs/>
        </w:rPr>
        <w:t xml:space="preserve"> </w:t>
      </w:r>
      <w:r w:rsidR="004649F4">
        <w:rPr>
          <w:iCs/>
        </w:rPr>
        <w:t>–</w:t>
      </w:r>
      <w:r>
        <w:rPr>
          <w:iCs/>
        </w:rPr>
        <w:t xml:space="preserve"> </w:t>
      </w:r>
      <w:r w:rsidR="004649F4">
        <w:rPr>
          <w:iCs/>
        </w:rPr>
        <w:t>“</w:t>
      </w:r>
      <w:r w:rsidR="004649F4" w:rsidRPr="004649F4">
        <w:rPr>
          <w:iCs/>
        </w:rPr>
        <w:t>All admissions shall be scanned with care, and confessions of guilt shall be received with great caution. A confession alone, uncorroborated by any other evidence, shall not justify a conviction.</w:t>
      </w:r>
      <w:r w:rsidR="004649F4">
        <w:rPr>
          <w:iCs/>
        </w:rPr>
        <w:t>”</w:t>
      </w:r>
    </w:p>
    <w:p w14:paraId="6292F10C" w14:textId="688661F3" w:rsidR="00AC2A8C" w:rsidRDefault="00906DCC" w:rsidP="00D84F24">
      <w:pPr>
        <w:spacing w:line="480" w:lineRule="auto"/>
        <w:ind w:left="720" w:hanging="720"/>
        <w:rPr>
          <w:iCs/>
        </w:rPr>
      </w:pPr>
      <w:r>
        <w:rPr>
          <w:iCs/>
        </w:rPr>
        <w:lastRenderedPageBreak/>
        <w:t>-</w:t>
      </w:r>
      <w:r>
        <w:rPr>
          <w:iCs/>
        </w:rPr>
        <w:tab/>
      </w:r>
      <w:r w:rsidR="00D84F24" w:rsidRPr="004649F4">
        <w:rPr>
          <w:b/>
          <w:bCs/>
          <w:iCs/>
        </w:rPr>
        <w:t>Rule 824</w:t>
      </w:r>
      <w:r w:rsidR="00D84F24">
        <w:rPr>
          <w:iCs/>
        </w:rPr>
        <w:t xml:space="preserve"> specifically provides: “</w:t>
      </w:r>
      <w:r w:rsidR="00D84F24" w:rsidRPr="00D84F24">
        <w:rPr>
          <w:iCs/>
        </w:rPr>
        <w:t>To make a confession admissible, it shall have been made voluntarily, without being induced by another by the slightest hope of benefit or remotest fear of injury.</w:t>
      </w:r>
      <w:r w:rsidR="00D84F24">
        <w:rPr>
          <w:iCs/>
        </w:rPr>
        <w:t>”</w:t>
      </w:r>
    </w:p>
    <w:p w14:paraId="5C3CF4D9" w14:textId="77777777" w:rsidR="002C5093" w:rsidRDefault="002C5093" w:rsidP="00D84F24">
      <w:pPr>
        <w:spacing w:line="480" w:lineRule="auto"/>
        <w:ind w:left="720" w:hanging="720"/>
        <w:rPr>
          <w:iCs/>
        </w:rPr>
      </w:pPr>
      <w:r>
        <w:rPr>
          <w:iCs/>
        </w:rPr>
        <w:t>-</w:t>
      </w:r>
      <w:r>
        <w:rPr>
          <w:iCs/>
        </w:rPr>
        <w:tab/>
        <w:t xml:space="preserve">Remember that when prior Georgia law was substantially the same as the law under the present evidence code, the prior decisions continue to be valid precedent.  </w:t>
      </w:r>
    </w:p>
    <w:p w14:paraId="439C134D" w14:textId="021B5E18" w:rsidR="00906DCC" w:rsidRDefault="002C5093" w:rsidP="002C5093">
      <w:pPr>
        <w:spacing w:line="480" w:lineRule="auto"/>
        <w:ind w:left="1440" w:hanging="720"/>
        <w:rPr>
          <w:iCs/>
        </w:rPr>
      </w:pPr>
      <w:r>
        <w:rPr>
          <w:iCs/>
        </w:rPr>
        <w:t>-</w:t>
      </w:r>
      <w:r>
        <w:rPr>
          <w:iCs/>
        </w:rPr>
        <w:tab/>
      </w:r>
      <w:r w:rsidR="00906DCC">
        <w:rPr>
          <w:iCs/>
        </w:rPr>
        <w:t>The former O.C.G.A. § 24-3-53 now appears as §24-8-823.</w:t>
      </w:r>
    </w:p>
    <w:p w14:paraId="13A9DF9D" w14:textId="31DF0851" w:rsidR="002C5093" w:rsidRPr="002C5093" w:rsidRDefault="00906DCC" w:rsidP="002C5093">
      <w:pPr>
        <w:spacing w:line="480" w:lineRule="auto"/>
        <w:ind w:left="1440" w:hanging="720"/>
        <w:rPr>
          <w:iCs/>
        </w:rPr>
      </w:pPr>
      <w:r>
        <w:rPr>
          <w:iCs/>
        </w:rPr>
        <w:t>-</w:t>
      </w:r>
      <w:r>
        <w:rPr>
          <w:iCs/>
        </w:rPr>
        <w:tab/>
      </w:r>
      <w:r w:rsidR="002C5093">
        <w:rPr>
          <w:iCs/>
        </w:rPr>
        <w:t>Under prior law, the exact same language that appears in Rule 824 was the statutory text of O.C.G.A. § 24-3-50. (</w:t>
      </w:r>
      <w:r w:rsidR="002C5093">
        <w:rPr>
          <w:i/>
        </w:rPr>
        <w:t>Carter v. State</w:t>
      </w:r>
      <w:r w:rsidR="002C5093">
        <w:rPr>
          <w:iCs/>
        </w:rPr>
        <w:t>, 302 Ga. 685, 688 (2017).</w:t>
      </w:r>
    </w:p>
    <w:p w14:paraId="456A5123" w14:textId="2E70AEE2" w:rsidR="00D84F24" w:rsidRPr="004649F4" w:rsidRDefault="00767FC9" w:rsidP="00D84F24">
      <w:pPr>
        <w:spacing w:line="480" w:lineRule="auto"/>
        <w:ind w:left="720" w:hanging="720"/>
        <w:rPr>
          <w:iCs/>
        </w:rPr>
      </w:pPr>
      <w:r>
        <w:pict w14:anchorId="032E9E04">
          <v:rect id="_x0000_i1027" style="width:0;height:1.5pt" o:hralign="center" o:hrstd="t" o:hr="t" fillcolor="#a0a0a0" stroked="f"/>
        </w:pict>
      </w:r>
    </w:p>
    <w:p w14:paraId="4C5D55A3" w14:textId="46DC6387" w:rsidR="00D84F24" w:rsidRDefault="00D84F24" w:rsidP="00D84F24">
      <w:pPr>
        <w:spacing w:line="480" w:lineRule="auto"/>
        <w:ind w:left="720" w:hanging="720"/>
        <w:rPr>
          <w:iCs/>
        </w:rPr>
      </w:pPr>
      <w:r>
        <w:rPr>
          <w:iCs/>
        </w:rPr>
        <w:t>-</w:t>
      </w:r>
      <w:r>
        <w:rPr>
          <w:iCs/>
        </w:rPr>
        <w:tab/>
        <w:t xml:space="preserve">We told you this series was going back to the basics – so in keeping with that commitment, let’s define a ”confession” </w:t>
      </w:r>
    </w:p>
    <w:p w14:paraId="19031AB4" w14:textId="0FE2FD33" w:rsidR="009B3A1D" w:rsidRDefault="009B3A1D" w:rsidP="00D84F24">
      <w:pPr>
        <w:spacing w:line="480" w:lineRule="auto"/>
        <w:ind w:left="720" w:hanging="720"/>
        <w:rPr>
          <w:iCs/>
        </w:rPr>
      </w:pPr>
      <w:r>
        <w:rPr>
          <w:iCs/>
        </w:rPr>
        <w:t>-</w:t>
      </w:r>
      <w:r>
        <w:rPr>
          <w:iCs/>
        </w:rPr>
        <w:tab/>
      </w:r>
      <w:r w:rsidR="00C9093C">
        <w:rPr>
          <w:iCs/>
        </w:rPr>
        <w:t xml:space="preserve">“Back in the olden days” Georgia law differentiated between a “confession” and an “incriminating statement.”  That distinction has been eliminated by case law construing Rules 823 and 824.  </w:t>
      </w:r>
      <w:r w:rsidR="00C9093C">
        <w:rPr>
          <w:i/>
        </w:rPr>
        <w:t>Carter v. State</w:t>
      </w:r>
      <w:r w:rsidR="00C9093C">
        <w:rPr>
          <w:iCs/>
        </w:rPr>
        <w:t xml:space="preserve">, 302 Ga. 685, n. 6 (2017), citing </w:t>
      </w:r>
      <w:r w:rsidR="00C9093C">
        <w:rPr>
          <w:i/>
        </w:rPr>
        <w:t xml:space="preserve">State v. </w:t>
      </w:r>
      <w:proofErr w:type="spellStart"/>
      <w:r w:rsidR="00C9093C">
        <w:rPr>
          <w:i/>
        </w:rPr>
        <w:t>Chulpayev</w:t>
      </w:r>
      <w:proofErr w:type="spellEnd"/>
      <w:r w:rsidR="00C9093C">
        <w:rPr>
          <w:iCs/>
        </w:rPr>
        <w:t>, 296 Ga. 764, 771 (2015).</w:t>
      </w:r>
    </w:p>
    <w:p w14:paraId="12184820" w14:textId="3B2DB331" w:rsidR="002A7CAF" w:rsidRDefault="00767FC9" w:rsidP="00D84F24">
      <w:pPr>
        <w:spacing w:line="480" w:lineRule="auto"/>
        <w:ind w:left="720" w:hanging="720"/>
      </w:pPr>
      <w:r>
        <w:lastRenderedPageBreak/>
        <w:pict w14:anchorId="7C940BE1">
          <v:rect id="_x0000_i1028" style="width:0;height:1.5pt" o:hralign="center" o:hrstd="t" o:hr="t" fillcolor="#a0a0a0" stroked="f"/>
        </w:pict>
      </w:r>
    </w:p>
    <w:p w14:paraId="63403FC2" w14:textId="6FF5D95A" w:rsidR="002A7CAF" w:rsidRDefault="002A7CAF" w:rsidP="00D84F24">
      <w:pPr>
        <w:spacing w:line="480" w:lineRule="auto"/>
        <w:ind w:left="720" w:hanging="720"/>
        <w:rPr>
          <w:iCs/>
        </w:rPr>
      </w:pPr>
      <w:r>
        <w:t>-</w:t>
      </w:r>
      <w:r>
        <w:tab/>
        <w:t xml:space="preserve">Rule 824 specifically provides that confessions are not admissible </w:t>
      </w:r>
      <w:r w:rsidR="00DE2E3C">
        <w:t>unless the confession was made</w:t>
      </w:r>
      <w:r>
        <w:t xml:space="preserve"> “</w:t>
      </w:r>
      <w:r w:rsidRPr="00D84F24">
        <w:rPr>
          <w:iCs/>
        </w:rPr>
        <w:t>without being induced by another by the slightest hope of benefit or remotest fear of injury.</w:t>
      </w:r>
      <w:r w:rsidR="00DE2E3C">
        <w:rPr>
          <w:iCs/>
        </w:rPr>
        <w:t>”</w:t>
      </w:r>
    </w:p>
    <w:p w14:paraId="45A05558" w14:textId="28418C00" w:rsidR="00DE2E3C" w:rsidRDefault="00767FC9" w:rsidP="00DE2E3C">
      <w:pPr>
        <w:spacing w:line="480" w:lineRule="auto"/>
      </w:pPr>
      <w:r>
        <w:pict w14:anchorId="40D9584F">
          <v:rect id="_x0000_i1029" style="width:0;height:1.5pt" o:hralign="center" o:hrstd="t" o:hr="t" fillcolor="#a0a0a0" stroked="f"/>
        </w:pict>
      </w:r>
    </w:p>
    <w:p w14:paraId="75A4B1CA" w14:textId="21377B79" w:rsidR="00DE2E3C" w:rsidRDefault="00DE2E3C" w:rsidP="00DE2E3C">
      <w:pPr>
        <w:spacing w:line="480" w:lineRule="auto"/>
        <w:ind w:left="720" w:hanging="720"/>
      </w:pPr>
      <w:r>
        <w:t>-</w:t>
      </w:r>
      <w:r>
        <w:tab/>
      </w:r>
      <w:r w:rsidRPr="006E0603">
        <w:rPr>
          <w:b/>
          <w:bCs/>
        </w:rPr>
        <w:t xml:space="preserve">“Slightest hope of benefit” </w:t>
      </w:r>
      <w:r>
        <w:t xml:space="preserve">– </w:t>
      </w:r>
    </w:p>
    <w:p w14:paraId="68888F72" w14:textId="05BDA88A" w:rsidR="00DE2E3C" w:rsidRDefault="00DE2E3C" w:rsidP="00DE2E3C">
      <w:pPr>
        <w:spacing w:line="480" w:lineRule="auto"/>
        <w:ind w:left="1440" w:hanging="720"/>
      </w:pPr>
      <w:r>
        <w:t>-</w:t>
      </w:r>
      <w:r>
        <w:tab/>
        <w:t>“</w:t>
      </w:r>
      <w:r w:rsidRPr="00DE2E3C">
        <w:t xml:space="preserve">The term </w:t>
      </w:r>
      <w:r>
        <w:t>‘</w:t>
      </w:r>
      <w:r w:rsidRPr="00DE2E3C">
        <w:t>slightest hope of benefit</w:t>
      </w:r>
      <w:r>
        <w:t>’</w:t>
      </w:r>
      <w:r w:rsidRPr="00DE2E3C">
        <w:t xml:space="preserve"> refers to </w:t>
      </w:r>
      <w:r>
        <w:t>‘</w:t>
      </w:r>
      <w:r w:rsidRPr="00DE2E3C">
        <w:t>promises related to reduced criminal punishment—a shorter sentence, lesser charges, or no charges at all.</w:t>
      </w:r>
      <w:r w:rsidR="00EB3232">
        <w:t>’</w:t>
      </w:r>
      <w:r w:rsidRPr="00DE2E3C">
        <w:t>”</w:t>
      </w:r>
      <w:r w:rsidR="00EB3232">
        <w:t xml:space="preserve"> </w:t>
      </w:r>
      <w:proofErr w:type="spellStart"/>
      <w:r w:rsidR="00EB3232">
        <w:rPr>
          <w:i/>
          <w:iCs/>
        </w:rPr>
        <w:t>Budhani</w:t>
      </w:r>
      <w:proofErr w:type="spellEnd"/>
      <w:r w:rsidR="00EB3232">
        <w:rPr>
          <w:i/>
          <w:iCs/>
        </w:rPr>
        <w:t xml:space="preserve"> v. State</w:t>
      </w:r>
      <w:r w:rsidR="00EB3232">
        <w:t xml:space="preserve">, 345 Ga. App. 34, 41 (2018), overruled on other grounds by </w:t>
      </w:r>
      <w:r w:rsidR="00EB3232">
        <w:rPr>
          <w:i/>
          <w:iCs/>
        </w:rPr>
        <w:t>Willis v. State</w:t>
      </w:r>
      <w:r w:rsidR="00EB3232">
        <w:t>, 304 Ga. 686 (2018).</w:t>
      </w:r>
    </w:p>
    <w:p w14:paraId="57F75CF2" w14:textId="055134E9" w:rsidR="00EB3232" w:rsidRDefault="00EB3232" w:rsidP="00195C5D">
      <w:pPr>
        <w:spacing w:line="480" w:lineRule="auto"/>
        <w:ind w:left="1440" w:hanging="720"/>
        <w:jc w:val="both"/>
      </w:pPr>
      <w:r>
        <w:t>-</w:t>
      </w:r>
      <w:r>
        <w:tab/>
        <w:t>Where officer tells the defendant that if he confesses</w:t>
      </w:r>
      <w:r w:rsidR="00832C5C">
        <w:t xml:space="preserve">, he will receive a lighter sentence – that “promise” by the officer makes the confession inadmissible.  </w:t>
      </w:r>
      <w:r w:rsidR="00832C5C">
        <w:rPr>
          <w:i/>
          <w:iCs/>
        </w:rPr>
        <w:t>Canty v. State</w:t>
      </w:r>
      <w:r w:rsidR="00832C5C">
        <w:t xml:space="preserve">, 286 Ga. 608 (2010); </w:t>
      </w:r>
      <w:r w:rsidR="00195C5D">
        <w:t xml:space="preserve">If the officer tells the defendant that if he makes a statement, the officer would drop certain charges </w:t>
      </w:r>
      <w:r w:rsidR="00827F27">
        <w:t xml:space="preserve">in this case, the </w:t>
      </w:r>
      <w:r w:rsidR="00195C5D">
        <w:t xml:space="preserve">statement </w:t>
      </w:r>
      <w:r w:rsidR="00827F27">
        <w:t xml:space="preserve">is </w:t>
      </w:r>
      <w:r w:rsidR="00195C5D">
        <w:t xml:space="preserve">inadmissible.  </w:t>
      </w:r>
      <w:r w:rsidR="00832C5C">
        <w:rPr>
          <w:i/>
          <w:iCs/>
        </w:rPr>
        <w:t>Jones v. State</w:t>
      </w:r>
      <w:r w:rsidR="00832C5C">
        <w:t>, 344 Ga. App. 774 (2018).</w:t>
      </w:r>
      <w:r w:rsidR="00195C5D">
        <w:t xml:space="preserve">  Same with any promise of immunity made by the officers. </w:t>
      </w:r>
      <w:r w:rsidR="00195C5D">
        <w:rPr>
          <w:i/>
          <w:iCs/>
        </w:rPr>
        <w:t>Porter v. State</w:t>
      </w:r>
      <w:r w:rsidR="00195C5D">
        <w:t>, 143 Ga. App. 640 (1977).</w:t>
      </w:r>
    </w:p>
    <w:p w14:paraId="61E5C72B" w14:textId="5FC743D5" w:rsidR="001C261A" w:rsidRDefault="00195C5D" w:rsidP="00195C5D">
      <w:pPr>
        <w:spacing w:line="480" w:lineRule="auto"/>
        <w:ind w:left="1440" w:hanging="720"/>
        <w:jc w:val="both"/>
      </w:pPr>
      <w:r>
        <w:lastRenderedPageBreak/>
        <w:t>-</w:t>
      </w:r>
      <w:r>
        <w:tab/>
        <w:t>By comparison (and these distinctions are VERY important</w:t>
      </w:r>
      <w:r w:rsidR="00827F27">
        <w:t xml:space="preserve"> – and occasionally very fine</w:t>
      </w:r>
      <w:r>
        <w:t xml:space="preserve">), a promise to tell the prosecutor or the judge of the defendant’s cooperation has been </w:t>
      </w:r>
      <w:r w:rsidR="006C3392">
        <w:t>referred to as a “</w:t>
      </w:r>
      <w:r w:rsidR="006C3392" w:rsidRPr="006E0603">
        <w:rPr>
          <w:b/>
          <w:bCs/>
        </w:rPr>
        <w:t>hope of a COLLATERAL benefit.</w:t>
      </w:r>
      <w:r w:rsidR="006C3392">
        <w:t xml:space="preserve">”  And any reference to a collateral benefit does NOT make the statement inadmissible.  </w:t>
      </w:r>
      <w:r w:rsidR="006C3392">
        <w:rPr>
          <w:i/>
          <w:iCs/>
        </w:rPr>
        <w:t>Wilson v. State</w:t>
      </w:r>
      <w:r w:rsidR="006C3392">
        <w:t>, 285 Ga. 224 (2009)</w:t>
      </w:r>
      <w:r w:rsidR="00E4559B">
        <w:t xml:space="preserve">; </w:t>
      </w:r>
      <w:r w:rsidR="00E4559B">
        <w:rPr>
          <w:i/>
          <w:iCs/>
        </w:rPr>
        <w:t>Leigh v. State</w:t>
      </w:r>
      <w:r w:rsidR="00E4559B">
        <w:t xml:space="preserve">, 223 Ga. App. 726, 727 (1996); </w:t>
      </w:r>
      <w:r w:rsidR="00E4559B">
        <w:rPr>
          <w:i/>
          <w:iCs/>
        </w:rPr>
        <w:t>Lyles v. State</w:t>
      </w:r>
      <w:r w:rsidR="00E4559B">
        <w:t>, 221 Ga. App. 560, 561 (1996)</w:t>
      </w:r>
      <w:r w:rsidR="001C261A">
        <w:t>.</w:t>
      </w:r>
    </w:p>
    <w:p w14:paraId="0F04889B" w14:textId="7665A1E2" w:rsidR="006E0603" w:rsidRDefault="006E0603" w:rsidP="006E0603">
      <w:pPr>
        <w:spacing w:line="480" w:lineRule="auto"/>
        <w:ind w:left="2160" w:hanging="720"/>
        <w:jc w:val="both"/>
      </w:pPr>
      <w:r>
        <w:t>-</w:t>
      </w:r>
      <w:r>
        <w:tab/>
        <w:t xml:space="preserve">O.C.G.A. </w:t>
      </w:r>
      <w:r w:rsidRPr="006E0603">
        <w:rPr>
          <w:b/>
          <w:bCs/>
        </w:rPr>
        <w:t>§ 24-8-825</w:t>
      </w:r>
      <w:r>
        <w:t xml:space="preserve"> specifically provides that “</w:t>
      </w:r>
      <w:r w:rsidRPr="006E0603">
        <w:t>The fact that a confession has been made under a spiritual exhortation, a promise of secrecy, or a promise of collateral benefit shall not exclude it.</w:t>
      </w:r>
      <w:r>
        <w:t>”</w:t>
      </w:r>
    </w:p>
    <w:p w14:paraId="5B1F71F3" w14:textId="3946CFB5" w:rsidR="001C261A" w:rsidRDefault="001C261A" w:rsidP="00195C5D">
      <w:pPr>
        <w:spacing w:line="480" w:lineRule="auto"/>
        <w:ind w:left="1440" w:hanging="720"/>
        <w:jc w:val="both"/>
      </w:pPr>
      <w:r>
        <w:t>-</w:t>
      </w:r>
      <w:r>
        <w:tab/>
        <w:t>Promises made by officers to ensure the defendant received psychiatric care while in jail w</w:t>
      </w:r>
      <w:r w:rsidR="00827F27">
        <w:t>ere</w:t>
      </w:r>
      <w:r>
        <w:t xml:space="preserve"> deemed collateral. (</w:t>
      </w:r>
      <w:r>
        <w:rPr>
          <w:i/>
          <w:iCs/>
        </w:rPr>
        <w:t>Clark v. State</w:t>
      </w:r>
      <w:r>
        <w:t>, 309 Ga. App. 749 (2011); Same with promises relating to reducing the defendant’s bond (</w:t>
      </w:r>
      <w:r>
        <w:rPr>
          <w:i/>
          <w:iCs/>
        </w:rPr>
        <w:t>Pounds v. State</w:t>
      </w:r>
      <w:r>
        <w:t>, 189 Ga. App. 809 (1989)</w:t>
      </w:r>
      <w:r w:rsidR="0077284D">
        <w:t>)</w:t>
      </w:r>
      <w:r>
        <w:t>; Promises relating to ensuring the defendant has a single-person jail cell</w:t>
      </w:r>
      <w:r w:rsidR="00EA46B4">
        <w:t xml:space="preserve"> are collateral (</w:t>
      </w:r>
      <w:proofErr w:type="spellStart"/>
      <w:r w:rsidR="00EA46B4">
        <w:rPr>
          <w:i/>
          <w:iCs/>
        </w:rPr>
        <w:t>Presnell</w:t>
      </w:r>
      <w:proofErr w:type="spellEnd"/>
      <w:r w:rsidR="00EA46B4">
        <w:rPr>
          <w:i/>
          <w:iCs/>
        </w:rPr>
        <w:t xml:space="preserve"> v. State</w:t>
      </w:r>
      <w:r w:rsidR="00EA46B4">
        <w:t xml:space="preserve">, 241 Ga. 49 (1978); </w:t>
      </w:r>
      <w:r w:rsidR="00EA46B4">
        <w:rPr>
          <w:i/>
          <w:iCs/>
        </w:rPr>
        <w:t>White v. State</w:t>
      </w:r>
      <w:r w:rsidR="00EA46B4">
        <w:t>, 266 Ga. 134 (1996)</w:t>
      </w:r>
      <w:r w:rsidR="0077284D">
        <w:t>)</w:t>
      </w:r>
      <w:r w:rsidR="00EA46B4">
        <w:t>.</w:t>
      </w:r>
    </w:p>
    <w:p w14:paraId="3AD491CD" w14:textId="77777777" w:rsidR="00F61CC7" w:rsidRDefault="00EA46B4" w:rsidP="00F61CC7">
      <w:pPr>
        <w:spacing w:line="480" w:lineRule="auto"/>
        <w:ind w:left="1440" w:hanging="720"/>
      </w:pPr>
      <w:r>
        <w:lastRenderedPageBreak/>
        <w:t>-</w:t>
      </w:r>
      <w:r>
        <w:tab/>
        <w:t>Have seen this next example numerous times – where officers tell the defendant the girlfriend/momma/cousin would be charged</w:t>
      </w:r>
      <w:r w:rsidR="0077284D">
        <w:t xml:space="preserve"> as a party to the crime, charged with making false statements, </w:t>
      </w:r>
      <w:r w:rsidR="00B82B01">
        <w:t>lose public housing,</w:t>
      </w:r>
      <w:r w:rsidR="0077284D">
        <w:t xml:space="preserve"> lose custody of children, </w:t>
      </w:r>
      <w:r w:rsidR="00B82B01">
        <w:t xml:space="preserve"> etc. Those </w:t>
      </w:r>
      <w:r w:rsidR="0077284D">
        <w:t xml:space="preserve">“threats” </w:t>
      </w:r>
      <w:r w:rsidR="00B82B01">
        <w:t>are clearly collateral benefits and do not render the confession</w:t>
      </w:r>
      <w:r w:rsidR="0077284D">
        <w:t xml:space="preserve"> of the suspect</w:t>
      </w:r>
      <w:r w:rsidR="00B82B01">
        <w:t xml:space="preserve"> inadmissible. </w:t>
      </w:r>
      <w:r w:rsidR="00B82B01">
        <w:rPr>
          <w:i/>
          <w:iCs/>
        </w:rPr>
        <w:t>Jackson v. State</w:t>
      </w:r>
      <w:r w:rsidR="00B82B01">
        <w:t xml:space="preserve">, 280 Ga. App. 716 (2006); </w:t>
      </w:r>
      <w:r w:rsidR="00B82B01">
        <w:rPr>
          <w:i/>
          <w:iCs/>
        </w:rPr>
        <w:t>Shepard v. State</w:t>
      </w:r>
      <w:r w:rsidR="00B82B01">
        <w:t>, 300 Ga. 167 (2016).</w:t>
      </w:r>
      <w:r w:rsidR="0077284D">
        <w:t xml:space="preserve"> </w:t>
      </w:r>
    </w:p>
    <w:p w14:paraId="5263E96D" w14:textId="35FB8A44" w:rsidR="00EA46B4" w:rsidRDefault="00F61CC7" w:rsidP="00F61CC7">
      <w:pPr>
        <w:spacing w:line="480" w:lineRule="auto"/>
        <w:ind w:left="2160" w:hanging="720"/>
      </w:pPr>
      <w:r>
        <w:t>-</w:t>
      </w:r>
      <w:r>
        <w:tab/>
      </w:r>
      <w:r w:rsidR="0077284D">
        <w:t xml:space="preserve">Sometimes you see references to “mere legal </w:t>
      </w:r>
      <w:proofErr w:type="spellStart"/>
      <w:r w:rsidR="0077284D">
        <w:t>trueisms</w:t>
      </w:r>
      <w:proofErr w:type="spellEnd"/>
      <w:r w:rsidR="0077284D">
        <w:t xml:space="preserve">” in the appellate cases) See </w:t>
      </w:r>
      <w:r w:rsidR="0077284D">
        <w:rPr>
          <w:i/>
          <w:iCs/>
        </w:rPr>
        <w:t>State v. Munoz</w:t>
      </w:r>
      <w:r w:rsidR="0077284D">
        <w:t xml:space="preserve">, </w:t>
      </w:r>
      <w:r w:rsidR="008320D7">
        <w:t>324 Ga. App. 386, 392 (2013)</w:t>
      </w:r>
      <w:r>
        <w:t xml:space="preserve">; </w:t>
      </w:r>
      <w:r>
        <w:rPr>
          <w:i/>
          <w:iCs/>
        </w:rPr>
        <w:t>Hudson v. State</w:t>
      </w:r>
      <w:r>
        <w:t xml:space="preserve">, 353 Ga. App. 223 (2019); </w:t>
      </w:r>
      <w:r>
        <w:rPr>
          <w:i/>
          <w:iCs/>
        </w:rPr>
        <w:t>Dozier v. State</w:t>
      </w:r>
      <w:r>
        <w:t>, 306 Ga. 29, 37 (2019) (</w:t>
      </w:r>
      <w:r w:rsidRPr="00F61CC7">
        <w:t>officer’s statement to defendant that he would arrest defendant’s wife if she lied about defendant’s whereabouts was a “mere truism” and did not render defendant’s subsequent confession involuntary</w:t>
      </w:r>
      <w:r>
        <w:t xml:space="preserve">); </w:t>
      </w:r>
      <w:r w:rsidRPr="00F61CC7">
        <w:t>“[A] statement by police that makes the defendant aware of potential legal consequences is in the nature of a mere truism that does not constitute a threat of injury or promise of benefit[.]”</w:t>
      </w:r>
      <w:r>
        <w:t xml:space="preserve"> </w:t>
      </w:r>
      <w:r>
        <w:rPr>
          <w:i/>
          <w:iCs/>
        </w:rPr>
        <w:t>Blackwell</w:t>
      </w:r>
      <w:r w:rsidR="00505022">
        <w:rPr>
          <w:i/>
          <w:iCs/>
        </w:rPr>
        <w:t xml:space="preserve"> v. State</w:t>
      </w:r>
      <w:r>
        <w:t>,</w:t>
      </w:r>
      <w:r w:rsidR="00505022">
        <w:t xml:space="preserve"> 337 Ga. App. 173, 176 (2016).</w:t>
      </w:r>
      <w:r>
        <w:t xml:space="preserve"> </w:t>
      </w:r>
    </w:p>
    <w:p w14:paraId="0DF428F3" w14:textId="65BFE170" w:rsidR="00505022" w:rsidRPr="00505022" w:rsidRDefault="00505022" w:rsidP="00505022">
      <w:pPr>
        <w:spacing w:line="480" w:lineRule="auto"/>
        <w:ind w:left="2160" w:hanging="720"/>
      </w:pPr>
      <w:r>
        <w:lastRenderedPageBreak/>
        <w:t>-</w:t>
      </w:r>
      <w:r>
        <w:tab/>
      </w:r>
      <w:r w:rsidRPr="00505022">
        <w:t>“the fact that he was told he would be arrested if he refused to talk to the police officers does not amount to coercion making his statements inadmissible. Such statements are in the nature of a mere truism [and] simply made [Brewer] aware of potential legal consequences.”</w:t>
      </w:r>
      <w:r>
        <w:t xml:space="preserve"> </w:t>
      </w:r>
      <w:r>
        <w:rPr>
          <w:i/>
          <w:iCs/>
        </w:rPr>
        <w:t>Brewer v. State</w:t>
      </w:r>
      <w:r>
        <w:t xml:space="preserve">, </w:t>
      </w:r>
      <w:r w:rsidR="00376592">
        <w:t>312 Ga. App. 397, 398-399 (2011).</w:t>
      </w:r>
    </w:p>
    <w:p w14:paraId="50407E69" w14:textId="684B561D" w:rsidR="00195C5D" w:rsidRDefault="001C261A" w:rsidP="00195C5D">
      <w:pPr>
        <w:spacing w:line="480" w:lineRule="auto"/>
        <w:ind w:left="1440" w:hanging="720"/>
        <w:jc w:val="both"/>
      </w:pPr>
      <w:r>
        <w:t>-</w:t>
      </w:r>
      <w:r>
        <w:tab/>
      </w:r>
      <w:r w:rsidR="006C3392">
        <w:t xml:space="preserve">See </w:t>
      </w:r>
      <w:r w:rsidR="006C3392">
        <w:rPr>
          <w:i/>
          <w:iCs/>
        </w:rPr>
        <w:t>Boone v. State</w:t>
      </w:r>
      <w:r w:rsidR="006C3392">
        <w:t>, 293 Ga. App. 654 (2008) where officer told the defendant he would talk to the prosecutor about dismissing a warrant in an unrelated case – deemed a “collateral benefit” which would not prevent the confession from being admitted.</w:t>
      </w:r>
      <w:r w:rsidR="00376592">
        <w:t xml:space="preserve"> (but you can see where a small phrase such as “in an unrelated case” makes a huge difference)</w:t>
      </w:r>
    </w:p>
    <w:p w14:paraId="79B67949" w14:textId="29642CF6" w:rsidR="0025661A" w:rsidRDefault="0025661A" w:rsidP="00195C5D">
      <w:pPr>
        <w:spacing w:line="480" w:lineRule="auto"/>
        <w:ind w:left="1440" w:hanging="720"/>
        <w:jc w:val="both"/>
      </w:pPr>
      <w:r>
        <w:t>-</w:t>
      </w:r>
      <w:r>
        <w:tab/>
      </w:r>
      <w:r w:rsidR="009421C6">
        <w:t xml:space="preserve">Promising defendant he could see family or smoke a cigarette is not hope of benefit. </w:t>
      </w:r>
      <w:r w:rsidR="009421C6">
        <w:rPr>
          <w:i/>
          <w:iCs/>
        </w:rPr>
        <w:t>Sizemore v. State</w:t>
      </w:r>
      <w:r w:rsidR="009421C6">
        <w:t xml:space="preserve">, 201 Ga. App. 431 (1991); </w:t>
      </w:r>
      <w:r w:rsidR="009421C6">
        <w:rPr>
          <w:i/>
          <w:iCs/>
        </w:rPr>
        <w:t>White v. State</w:t>
      </w:r>
      <w:r w:rsidR="009421C6">
        <w:t>, 266 Ga. 134 (1996).</w:t>
      </w:r>
      <w:r w:rsidR="00DD4A11">
        <w:t xml:space="preserve">  Same with telling the defendant that he could return home, regardless of what he said in statement – that is a collateral benefit. </w:t>
      </w:r>
      <w:r w:rsidR="00DD4A11">
        <w:rPr>
          <w:i/>
          <w:iCs/>
        </w:rPr>
        <w:t>Brown v. State</w:t>
      </w:r>
      <w:r w:rsidR="00DD4A11">
        <w:t>, 290 Ga. 865 (2012).</w:t>
      </w:r>
    </w:p>
    <w:p w14:paraId="031D952A" w14:textId="6FEBAA2C" w:rsidR="008320D7" w:rsidRPr="008320D7" w:rsidRDefault="008320D7" w:rsidP="00195C5D">
      <w:pPr>
        <w:spacing w:line="480" w:lineRule="auto"/>
        <w:ind w:left="1440" w:hanging="720"/>
        <w:jc w:val="both"/>
      </w:pPr>
      <w:r>
        <w:t>-</w:t>
      </w:r>
      <w:r>
        <w:tab/>
        <w:t xml:space="preserve">“Admonitions to tell the truth” will not invalidate a confession.”  </w:t>
      </w:r>
      <w:r>
        <w:rPr>
          <w:i/>
          <w:iCs/>
        </w:rPr>
        <w:t>State v. Munoz</w:t>
      </w:r>
      <w:r>
        <w:t>, 324 Ga. App. 386, 392 (2013)</w:t>
      </w:r>
      <w:r w:rsidR="00F61CC7">
        <w:t xml:space="preserve"> (telling defendant he should </w:t>
      </w:r>
      <w:r w:rsidR="00F61CC7">
        <w:lastRenderedPageBreak/>
        <w:t>tell his side of the story because the victim was claiming forcible rape)</w:t>
      </w:r>
      <w:r>
        <w:t xml:space="preserve">, citing </w:t>
      </w:r>
      <w:r>
        <w:rPr>
          <w:i/>
          <w:iCs/>
        </w:rPr>
        <w:t>Pittman v. State</w:t>
      </w:r>
      <w:r>
        <w:t>, 277 Ga. 475, 478 (2004).</w:t>
      </w:r>
    </w:p>
    <w:p w14:paraId="0941F118" w14:textId="48C79D0F" w:rsidR="0025661A" w:rsidRDefault="0025661A" w:rsidP="00195C5D">
      <w:pPr>
        <w:spacing w:line="480" w:lineRule="auto"/>
        <w:ind w:left="1440" w:hanging="720"/>
        <w:jc w:val="both"/>
      </w:pPr>
      <w:r>
        <w:t>-</w:t>
      </w:r>
      <w:r>
        <w:tab/>
      </w:r>
      <w:r w:rsidRPr="0025661A">
        <w:t xml:space="preserve">Officer's statement to defendant, in response to defendant's question as to whether defendant should talk, that “That's up to you man. All you're going to do is help yourself out,” was not a “hope of benefit” that would render defendant's statement involuntary. </w:t>
      </w:r>
      <w:r w:rsidRPr="0025661A">
        <w:t> </w:t>
      </w:r>
      <w:r w:rsidRPr="0025661A">
        <w:rPr>
          <w:i/>
          <w:iCs/>
        </w:rPr>
        <w:t>Lee v. State</w:t>
      </w:r>
      <w:r w:rsidRPr="0025661A">
        <w:t>, 270 Ga. 798</w:t>
      </w:r>
      <w:r>
        <w:t xml:space="preserve"> (</w:t>
      </w:r>
      <w:r w:rsidRPr="0025661A">
        <w:t>1999</w:t>
      </w:r>
      <w:r>
        <w:t>).</w:t>
      </w:r>
    </w:p>
    <w:p w14:paraId="2CE12118" w14:textId="5748D766" w:rsidR="009421C6" w:rsidRDefault="009421C6" w:rsidP="00195C5D">
      <w:pPr>
        <w:spacing w:line="480" w:lineRule="auto"/>
        <w:ind w:left="1440" w:hanging="720"/>
        <w:jc w:val="both"/>
      </w:pPr>
      <w:r>
        <w:t>-</w:t>
      </w:r>
      <w:r>
        <w:tab/>
        <w:t xml:space="preserve">The defendant’s subjective state of mind or what he thought the officer meant is not the test. </w:t>
      </w:r>
      <w:r>
        <w:rPr>
          <w:i/>
          <w:iCs/>
        </w:rPr>
        <w:t>Cummings v. State</w:t>
      </w:r>
      <w:r>
        <w:t>, 266 Ga. App. 799, 803-804 (2004).</w:t>
      </w:r>
    </w:p>
    <w:p w14:paraId="207C550C" w14:textId="49EDEEAD" w:rsidR="00B61178" w:rsidRPr="0025661A" w:rsidRDefault="00767FC9" w:rsidP="00B61178">
      <w:pPr>
        <w:spacing w:line="480" w:lineRule="auto"/>
        <w:jc w:val="both"/>
      </w:pPr>
      <w:r>
        <w:pict w14:anchorId="43D127BA">
          <v:rect id="_x0000_i1030" style="width:0;height:1.5pt" o:hralign="center" o:hrstd="t" o:hr="t" fillcolor="#a0a0a0" stroked="f"/>
        </w:pict>
      </w:r>
    </w:p>
    <w:p w14:paraId="7C2CB7C0" w14:textId="0BD59B6F" w:rsidR="00DE2E3C" w:rsidRDefault="00DE2E3C" w:rsidP="00D84F24">
      <w:pPr>
        <w:spacing w:line="480" w:lineRule="auto"/>
        <w:ind w:left="720" w:hanging="720"/>
        <w:rPr>
          <w:iCs/>
        </w:rPr>
      </w:pPr>
      <w:r>
        <w:rPr>
          <w:iCs/>
        </w:rPr>
        <w:t>-</w:t>
      </w:r>
      <w:r>
        <w:rPr>
          <w:iCs/>
        </w:rPr>
        <w:tab/>
      </w:r>
      <w:r w:rsidRPr="006E0603">
        <w:rPr>
          <w:b/>
          <w:bCs/>
          <w:iCs/>
        </w:rPr>
        <w:t>“remotest fear of injury”</w:t>
      </w:r>
      <w:r>
        <w:rPr>
          <w:iCs/>
        </w:rPr>
        <w:t xml:space="preserve"> – </w:t>
      </w:r>
    </w:p>
    <w:p w14:paraId="1CB89BBC" w14:textId="537B61AC" w:rsidR="006E0603" w:rsidRDefault="006E0603" w:rsidP="006E0603">
      <w:pPr>
        <w:spacing w:line="480" w:lineRule="auto"/>
        <w:ind w:left="1440" w:hanging="720"/>
        <w:rPr>
          <w:iCs/>
        </w:rPr>
      </w:pPr>
      <w:r>
        <w:rPr>
          <w:iCs/>
        </w:rPr>
        <w:t>-</w:t>
      </w:r>
      <w:r>
        <w:rPr>
          <w:iCs/>
        </w:rPr>
        <w:tab/>
        <w:t>“</w:t>
      </w:r>
      <w:r w:rsidRPr="006E0603">
        <w:rPr>
          <w:iCs/>
        </w:rPr>
        <w:t xml:space="preserve">As for </w:t>
      </w:r>
      <w:r>
        <w:rPr>
          <w:iCs/>
        </w:rPr>
        <w:t>‘</w:t>
      </w:r>
      <w:r w:rsidRPr="006E0603">
        <w:rPr>
          <w:iCs/>
        </w:rPr>
        <w:t>remotest fear of injury,</w:t>
      </w:r>
      <w:r>
        <w:rPr>
          <w:iCs/>
        </w:rPr>
        <w:t>’</w:t>
      </w:r>
      <w:r w:rsidRPr="006E0603">
        <w:rPr>
          <w:iCs/>
        </w:rPr>
        <w:t xml:space="preserve"> it is </w:t>
      </w:r>
      <w:r>
        <w:rPr>
          <w:iCs/>
        </w:rPr>
        <w:t>‘</w:t>
      </w:r>
      <w:r w:rsidRPr="006E0603">
        <w:rPr>
          <w:iCs/>
        </w:rPr>
        <w:t>[p]</w:t>
      </w:r>
      <w:proofErr w:type="spellStart"/>
      <w:r w:rsidRPr="006E0603">
        <w:rPr>
          <w:iCs/>
        </w:rPr>
        <w:t>hysical</w:t>
      </w:r>
      <w:proofErr w:type="spellEnd"/>
      <w:r w:rsidRPr="006E0603">
        <w:rPr>
          <w:iCs/>
        </w:rPr>
        <w:t xml:space="preserve"> or mental torture ... that prevents a confession from being admissible[.]</w:t>
      </w:r>
      <w:r>
        <w:rPr>
          <w:iCs/>
        </w:rPr>
        <w:t>’</w:t>
      </w:r>
      <w:r w:rsidRPr="006E0603">
        <w:rPr>
          <w:iCs/>
        </w:rPr>
        <w:t>”</w:t>
      </w:r>
      <w:r>
        <w:rPr>
          <w:iCs/>
        </w:rPr>
        <w:t xml:space="preserve"> </w:t>
      </w:r>
      <w:r>
        <w:rPr>
          <w:i/>
        </w:rPr>
        <w:t>Price v. State</w:t>
      </w:r>
      <w:r>
        <w:rPr>
          <w:iCs/>
        </w:rPr>
        <w:t xml:space="preserve">, 305 Ga. 608, </w:t>
      </w:r>
      <w:r w:rsidR="007C418E">
        <w:rPr>
          <w:iCs/>
        </w:rPr>
        <w:t>610</w:t>
      </w:r>
      <w:r>
        <w:rPr>
          <w:iCs/>
        </w:rPr>
        <w:t xml:space="preserve"> (2019).</w:t>
      </w:r>
    </w:p>
    <w:p w14:paraId="3F5ED588" w14:textId="51C3B5DE" w:rsidR="007C418E" w:rsidRDefault="007C418E" w:rsidP="006E0603">
      <w:pPr>
        <w:spacing w:line="480" w:lineRule="auto"/>
        <w:ind w:left="1440" w:hanging="720"/>
        <w:rPr>
          <w:iCs/>
        </w:rPr>
      </w:pPr>
      <w:r>
        <w:rPr>
          <w:iCs/>
        </w:rPr>
        <w:lastRenderedPageBreak/>
        <w:t>-</w:t>
      </w:r>
      <w:r>
        <w:rPr>
          <w:iCs/>
        </w:rPr>
        <w:tab/>
        <w:t xml:space="preserve">Officer suggesting that the defendant might be safer in police custody as opposed to being out on the street </w:t>
      </w:r>
      <w:r w:rsidR="00A32E4D">
        <w:rPr>
          <w:iCs/>
        </w:rPr>
        <w:t xml:space="preserve">does not create fear of injury under this statute. </w:t>
      </w:r>
      <w:r w:rsidR="00A32E4D">
        <w:rPr>
          <w:i/>
        </w:rPr>
        <w:t>Mangrum v. State</w:t>
      </w:r>
      <w:r w:rsidR="00A32E4D">
        <w:rPr>
          <w:iCs/>
        </w:rPr>
        <w:t>, 285 Ga. 676, 678 (2009)</w:t>
      </w:r>
    </w:p>
    <w:p w14:paraId="5C24F211" w14:textId="224AF43E" w:rsidR="00A32E4D" w:rsidRDefault="00A32E4D" w:rsidP="00D97BEB">
      <w:pPr>
        <w:spacing w:line="480" w:lineRule="auto"/>
        <w:ind w:left="2160" w:hanging="720"/>
        <w:rPr>
          <w:iCs/>
        </w:rPr>
      </w:pPr>
      <w:r>
        <w:rPr>
          <w:iCs/>
        </w:rPr>
        <w:t>-</w:t>
      </w:r>
      <w:r>
        <w:rPr>
          <w:iCs/>
        </w:rPr>
        <w:tab/>
        <w:t xml:space="preserve">Remember that the judge has to make credibility determinations and where there is conflicting testimony concerning whether the defendant was beaten, starved, refused bathroom breaks, etc. are credibility determinations for the judge unless there is clear evidence to support or refute such a claim.  </w:t>
      </w:r>
      <w:r>
        <w:rPr>
          <w:i/>
        </w:rPr>
        <w:t>Matthews v. State</w:t>
      </w:r>
      <w:r>
        <w:rPr>
          <w:iCs/>
        </w:rPr>
        <w:t xml:space="preserve">, 311 Ga. 531, </w:t>
      </w:r>
      <w:r w:rsidR="008B5E4C">
        <w:rPr>
          <w:iCs/>
        </w:rPr>
        <w:t>729-730 (2021).</w:t>
      </w:r>
    </w:p>
    <w:p w14:paraId="3088A838" w14:textId="37FC801C" w:rsidR="00D97BEB" w:rsidRDefault="00767FC9" w:rsidP="00D97BEB">
      <w:pPr>
        <w:spacing w:line="480" w:lineRule="auto"/>
      </w:pPr>
      <w:r>
        <w:pict w14:anchorId="1F26666F">
          <v:rect id="_x0000_i1031" style="width:0;height:1.5pt" o:hralign="center" o:hrstd="t" o:hr="t" fillcolor="#a0a0a0" stroked="f"/>
        </w:pict>
      </w:r>
    </w:p>
    <w:p w14:paraId="6CCB90F4" w14:textId="584F1629" w:rsidR="00D97BEB" w:rsidRDefault="00D97BEB" w:rsidP="00D7732E">
      <w:pPr>
        <w:spacing w:line="480" w:lineRule="auto"/>
        <w:ind w:left="720" w:hanging="720"/>
      </w:pPr>
      <w:r>
        <w:t>-</w:t>
      </w:r>
      <w:r>
        <w:tab/>
        <w:t xml:space="preserve">In our episode concerning </w:t>
      </w:r>
      <w:r>
        <w:rPr>
          <w:i/>
          <w:iCs/>
        </w:rPr>
        <w:t>Jackson v. Denno</w:t>
      </w:r>
      <w:r>
        <w:t>, we will discuss intoxicated defendants, mentally ill defendants</w:t>
      </w:r>
      <w:r w:rsidR="00D7732E">
        <w:t xml:space="preserve">, police tactics such as making untrue of misleading statements, the reading of </w:t>
      </w:r>
      <w:r w:rsidR="00D7732E">
        <w:rPr>
          <w:i/>
          <w:iCs/>
        </w:rPr>
        <w:t>Miranda</w:t>
      </w:r>
      <w:r w:rsidR="00D7732E">
        <w:t xml:space="preserve"> warnings, the request for counsel, and all sorts of other issues dealing with the judge’s decision as to whether the confession is admissible.</w:t>
      </w:r>
    </w:p>
    <w:p w14:paraId="0F1F7DC2" w14:textId="7AA97766" w:rsidR="00D7732E" w:rsidRDefault="00D7732E" w:rsidP="00D7732E">
      <w:pPr>
        <w:spacing w:line="480" w:lineRule="auto"/>
        <w:ind w:left="720" w:hanging="720"/>
      </w:pPr>
      <w:r>
        <w:t>-</w:t>
      </w:r>
      <w:r>
        <w:tab/>
        <w:t xml:space="preserve">One of the big takeaways that we hope you get from this episode is an understanding that whether a defendant was advised of his/her </w:t>
      </w:r>
      <w:r>
        <w:rPr>
          <w:i/>
          <w:iCs/>
        </w:rPr>
        <w:t>Miranda</w:t>
      </w:r>
      <w:r>
        <w:t xml:space="preserve"> warnings, asked for counsel, etc. is entirely separate from the issue of </w:t>
      </w:r>
      <w:r>
        <w:lastRenderedPageBreak/>
        <w:t xml:space="preserve">whether the statement was made voluntarily.  You often hear judges repeat the mantra, regardless of what was actually argued, about finding the statement was “freely and voluntarily made.”  </w:t>
      </w:r>
      <w:r w:rsidR="001C6D08">
        <w:t>Those issues are actually separable, even though they frequently arise simultaneously.</w:t>
      </w:r>
    </w:p>
    <w:p w14:paraId="4A167980" w14:textId="77EB7965" w:rsidR="00D7732E" w:rsidRDefault="00D7732E" w:rsidP="00D7732E">
      <w:pPr>
        <w:spacing w:line="480" w:lineRule="auto"/>
        <w:ind w:left="720" w:hanging="720"/>
      </w:pPr>
      <w:r>
        <w:t>-</w:t>
      </w:r>
      <w:r>
        <w:tab/>
      </w:r>
      <w:r w:rsidR="001C6D08" w:rsidRPr="001C6D08">
        <w:t xml:space="preserve">There is a difference between a defendant’s complaint that a statement was not voluntary and a complaint that the statement violated </w:t>
      </w:r>
      <w:r w:rsidR="001C6D08" w:rsidRPr="001C6D08">
        <w:rPr>
          <w:i/>
          <w:iCs/>
        </w:rPr>
        <w:t>Miranda</w:t>
      </w:r>
      <w:r w:rsidR="001C6D08" w:rsidRPr="001C6D08">
        <w:t>.</w:t>
      </w:r>
      <w:r w:rsidR="001C6D08">
        <w:t xml:space="preserve"> </w:t>
      </w:r>
      <w:bookmarkStart w:id="0" w:name="_Hlk35077594"/>
      <w:r w:rsidR="001C6D08" w:rsidRPr="001C6D08">
        <w:rPr>
          <w:i/>
          <w:iCs/>
        </w:rPr>
        <w:t>Reid v. State</w:t>
      </w:r>
      <w:r w:rsidR="001C6D08" w:rsidRPr="001C6D08">
        <w:t>, 306 Ga. 769 (2019).</w:t>
      </w:r>
      <w:bookmarkEnd w:id="0"/>
      <w:r w:rsidR="001C6D08" w:rsidRPr="001C6D08">
        <w:t xml:space="preserve">  A </w:t>
      </w:r>
      <w:r w:rsidR="001C6D08" w:rsidRPr="001C6D08">
        <w:rPr>
          <w:i/>
          <w:iCs/>
        </w:rPr>
        <w:t>Jackson v. Denno</w:t>
      </w:r>
      <w:r w:rsidR="001C6D08" w:rsidRPr="001C6D08">
        <w:t xml:space="preserve"> complaint is addressed to the overall voluntariness of a statement.  A complaint under </w:t>
      </w:r>
      <w:r w:rsidR="001C6D08" w:rsidRPr="001C6D08">
        <w:rPr>
          <w:i/>
          <w:iCs/>
        </w:rPr>
        <w:t>Miranda</w:t>
      </w:r>
      <w:r w:rsidR="001C6D08" w:rsidRPr="001C6D08">
        <w:t xml:space="preserve"> is addressed to a custodial interrogation violation.  There is a difference between the two and a defendant’s objection based upon </w:t>
      </w:r>
      <w:r w:rsidR="001C6D08" w:rsidRPr="001C6D08">
        <w:rPr>
          <w:i/>
          <w:iCs/>
        </w:rPr>
        <w:t>Miranda</w:t>
      </w:r>
      <w:r w:rsidR="001C6D08" w:rsidRPr="001C6D08">
        <w:t xml:space="preserve"> does not raise a requirement to conduct a hearing under </w:t>
      </w:r>
      <w:r w:rsidR="001C6D08" w:rsidRPr="001C6D08">
        <w:rPr>
          <w:i/>
          <w:iCs/>
        </w:rPr>
        <w:t>Jackson v. Denno</w:t>
      </w:r>
      <w:r w:rsidR="001C6D08" w:rsidRPr="001C6D08">
        <w:t>.</w:t>
      </w:r>
      <w:r w:rsidR="001C6D08">
        <w:rPr>
          <w:b/>
          <w:vertAlign w:val="superscript"/>
        </w:rPr>
        <w:t xml:space="preserve">  </w:t>
      </w:r>
      <w:r w:rsidR="001C6D08">
        <w:rPr>
          <w:i/>
          <w:iCs/>
        </w:rPr>
        <w:t>Reid v. State</w:t>
      </w:r>
      <w:r w:rsidR="001C6D08">
        <w:t>, 306 Ga. 769 (2019).</w:t>
      </w:r>
    </w:p>
    <w:p w14:paraId="1F9D1772" w14:textId="73957B3F" w:rsidR="001C6D08" w:rsidRDefault="001C6D08" w:rsidP="00D7732E">
      <w:pPr>
        <w:spacing w:line="480" w:lineRule="auto"/>
        <w:ind w:left="720" w:hanging="720"/>
      </w:pPr>
      <w:r>
        <w:t>-</w:t>
      </w:r>
      <w:r>
        <w:tab/>
        <w:t>“</w:t>
      </w:r>
      <w:r w:rsidRPr="001C6D08">
        <w:t>[c]</w:t>
      </w:r>
      <w:proofErr w:type="spellStart"/>
      <w:r w:rsidRPr="001C6D08">
        <w:t>oercive</w:t>
      </w:r>
      <w:proofErr w:type="spellEnd"/>
      <w:r w:rsidRPr="001C6D08">
        <w:t xml:space="preserve"> police activity is a necessary predicate to the finding that a confession is not voluntary within the meaning of the Due Process Clause of the Fourteenth Amendment. However, the investigators’ mere failure to administer </w:t>
      </w:r>
      <w:r w:rsidRPr="001C6D08">
        <w:rPr>
          <w:i/>
          <w:iCs/>
        </w:rPr>
        <w:t>Miranda</w:t>
      </w:r>
      <w:r w:rsidRPr="001C6D08">
        <w:t> warnings does not mean that the statements received have actually been coerced, but only that courts will presume the privilege against compulsory self-incrimination has not been intelligently exercised. Thus, because the </w:t>
      </w:r>
      <w:r w:rsidRPr="001C6D08">
        <w:rPr>
          <w:i/>
          <w:iCs/>
        </w:rPr>
        <w:t>Miranda</w:t>
      </w:r>
      <w:r w:rsidRPr="001C6D08">
        <w:t xml:space="preserve"> presumption does not necessarily constitute a </w:t>
      </w:r>
      <w:r w:rsidRPr="001C6D08">
        <w:lastRenderedPageBreak/>
        <w:t>finding that the statement was coerced, statements obtained in violation of the procedural requirements of </w:t>
      </w:r>
      <w:r w:rsidRPr="001C6D08">
        <w:rPr>
          <w:i/>
          <w:iCs/>
        </w:rPr>
        <w:t>Miranda</w:t>
      </w:r>
      <w:r w:rsidRPr="001C6D08">
        <w:t> may be found otherwise voluntary under due process standards.</w:t>
      </w:r>
      <w:r>
        <w:t xml:space="preserve">” </w:t>
      </w:r>
      <w:r>
        <w:rPr>
          <w:i/>
          <w:iCs/>
        </w:rPr>
        <w:t>Reid v. State</w:t>
      </w:r>
      <w:r>
        <w:t xml:space="preserve">, </w:t>
      </w:r>
      <w:r w:rsidR="00631402">
        <w:t xml:space="preserve">306 Ga. 769, 774 (2019), citing </w:t>
      </w:r>
      <w:r w:rsidR="00631402">
        <w:rPr>
          <w:i/>
          <w:iCs/>
        </w:rPr>
        <w:t>State v. Troutman</w:t>
      </w:r>
      <w:r w:rsidR="00631402">
        <w:t>, 300 Ga. 616, 618 (2017).</w:t>
      </w:r>
    </w:p>
    <w:p w14:paraId="48A61167" w14:textId="438AB379" w:rsidR="00631402" w:rsidRDefault="00631402" w:rsidP="00D7732E">
      <w:pPr>
        <w:spacing w:line="480" w:lineRule="auto"/>
        <w:ind w:left="720" w:hanging="720"/>
      </w:pPr>
      <w:r>
        <w:t>-</w:t>
      </w:r>
      <w:r>
        <w:tab/>
        <w:t xml:space="preserve">You will notice that we have not spent any time in this episode discussing whether the defendant was in custody or not in custody.  That is intentional.  </w:t>
      </w:r>
      <w:r>
        <w:rPr>
          <w:i/>
          <w:iCs/>
        </w:rPr>
        <w:t xml:space="preserve">Miranda </w:t>
      </w:r>
      <w:r>
        <w:t xml:space="preserve">is triggered when a defendant is in custody – even if the defendant is not in custody, if he makes a statement that is involuntary – either because of hope of benefit or </w:t>
      </w:r>
      <w:r w:rsidR="00B1269D">
        <w:t xml:space="preserve">fear of injury – that statement is inadmissible regardless of the reading of </w:t>
      </w:r>
      <w:r w:rsidR="00B1269D">
        <w:rPr>
          <w:i/>
          <w:iCs/>
        </w:rPr>
        <w:t>Miranda</w:t>
      </w:r>
      <w:r w:rsidR="00B1269D">
        <w:t xml:space="preserve"> warnings and we wanted to stress the difference here.</w:t>
      </w:r>
    </w:p>
    <w:p w14:paraId="3B140066" w14:textId="37A38801" w:rsidR="00B1269D" w:rsidRDefault="00B1269D" w:rsidP="00D7732E">
      <w:pPr>
        <w:spacing w:line="480" w:lineRule="auto"/>
        <w:ind w:left="720" w:hanging="720"/>
      </w:pPr>
      <w:r>
        <w:t>-</w:t>
      </w:r>
      <w:r>
        <w:tab/>
        <w:t xml:space="preserve">Admittedly, voluntariness of a statement is raised via a </w:t>
      </w:r>
      <w:r>
        <w:rPr>
          <w:i/>
          <w:iCs/>
        </w:rPr>
        <w:t>Jackson v. Denno</w:t>
      </w:r>
      <w:r>
        <w:t xml:space="preserve"> motion to suppress.  Most practitioners lump </w:t>
      </w:r>
      <w:r>
        <w:rPr>
          <w:i/>
          <w:iCs/>
        </w:rPr>
        <w:t xml:space="preserve">Miranda </w:t>
      </w:r>
      <w:r>
        <w:t xml:space="preserve">issues in with </w:t>
      </w:r>
      <w:r>
        <w:rPr>
          <w:i/>
          <w:iCs/>
        </w:rPr>
        <w:t>Jackson v. Denno</w:t>
      </w:r>
      <w:r>
        <w:t xml:space="preserve"> issues.  While that is not incorrect procedure, raising one without the other (voluntariness vs. failure to provide warnings) could present problems when challenged by the opposing party.  Just food for thought.</w:t>
      </w:r>
    </w:p>
    <w:p w14:paraId="17A56668" w14:textId="5FF910F4" w:rsidR="00B51654" w:rsidRDefault="00B51654" w:rsidP="00D7732E">
      <w:pPr>
        <w:spacing w:line="480" w:lineRule="auto"/>
        <w:ind w:left="720" w:hanging="720"/>
      </w:pPr>
      <w:r>
        <w:t>-</w:t>
      </w:r>
      <w:r>
        <w:tab/>
        <w:t xml:space="preserve">All of these decisions by the trial judge as to the admissibility of a confession or statement are based upon a totality of the circumstances </w:t>
      </w:r>
      <w:r>
        <w:lastRenderedPageBreak/>
        <w:t xml:space="preserve">analysis.  If there is a borderline issue relating to voluntariness and there is also a </w:t>
      </w:r>
      <w:r>
        <w:rPr>
          <w:i/>
          <w:iCs/>
        </w:rPr>
        <w:t>Miranda</w:t>
      </w:r>
      <w:r>
        <w:t xml:space="preserve"> violation, those facts may combine to lead the judge to find that the confession is inadmissible.</w:t>
      </w:r>
    </w:p>
    <w:p w14:paraId="710C3FA4" w14:textId="7875EFE0" w:rsidR="00B51654" w:rsidRPr="00B51654" w:rsidRDefault="00B51654" w:rsidP="00D7732E">
      <w:pPr>
        <w:spacing w:line="480" w:lineRule="auto"/>
        <w:ind w:left="720" w:hanging="720"/>
      </w:pPr>
      <w:r>
        <w:t>-</w:t>
      </w:r>
      <w:r>
        <w:tab/>
        <w:t>Burden of proof on State by a preponderance of the evidence standard.</w:t>
      </w:r>
    </w:p>
    <w:p w14:paraId="6A93DFBB" w14:textId="77777777" w:rsidR="00D84F24" w:rsidRDefault="00D84F24" w:rsidP="00D84F24">
      <w:pPr>
        <w:spacing w:line="480" w:lineRule="auto"/>
        <w:ind w:left="720" w:hanging="720"/>
        <w:rPr>
          <w:iCs/>
        </w:rPr>
      </w:pPr>
    </w:p>
    <w:p w14:paraId="5C1B7A7E" w14:textId="0BD14C9F" w:rsidR="00C5403F" w:rsidRPr="00FB4CCB" w:rsidRDefault="00767FC9" w:rsidP="00A45C29">
      <w:pPr>
        <w:spacing w:line="480" w:lineRule="auto"/>
      </w:pPr>
      <w:r>
        <w:pict w14:anchorId="7F23F1AC">
          <v:rect id="_x0000_i1032" style="width:0;height:1.5pt" o:hralign="center" o:hrstd="t" o:hr="t" fillcolor="#a0a0a0" stroked="f"/>
        </w:pict>
      </w:r>
    </w:p>
    <w:p w14:paraId="75CC0961" w14:textId="22E70E8C" w:rsidR="00D26207" w:rsidRDefault="00D26207" w:rsidP="00503A43">
      <w:pPr>
        <w:spacing w:line="480" w:lineRule="auto"/>
        <w:rPr>
          <w:i/>
          <w:iCs/>
        </w:rPr>
      </w:pPr>
      <w:r w:rsidRPr="00B6132B">
        <w:rPr>
          <w:i/>
          <w:iCs/>
        </w:rPr>
        <w:t xml:space="preserve">So that’s it for our </w:t>
      </w:r>
      <w:r w:rsidR="00B6132B" w:rsidRPr="00B6132B">
        <w:rPr>
          <w:i/>
          <w:iCs/>
        </w:rPr>
        <w:t xml:space="preserve">episode </w:t>
      </w:r>
      <w:r w:rsidR="00B1269D">
        <w:rPr>
          <w:i/>
          <w:iCs/>
        </w:rPr>
        <w:t xml:space="preserve">on the voluntariness of confessions under </w:t>
      </w:r>
      <w:r w:rsidR="00B51654">
        <w:rPr>
          <w:i/>
          <w:iCs/>
        </w:rPr>
        <w:t>§24-8-823, 824 and 825.</w:t>
      </w:r>
    </w:p>
    <w:p w14:paraId="1525D99E" w14:textId="606472CC" w:rsidR="005D0CEA" w:rsidRDefault="005D0CEA" w:rsidP="00503A43">
      <w:pPr>
        <w:spacing w:line="480" w:lineRule="auto"/>
      </w:pPr>
      <w:r>
        <w:t>We hope you are enjoying this evidence series.  As previously noted, we decided to dedicate ourselves to making an entire evidence series for the benefit of NJO class attendees.  We simply do not have enough time during NJO to adequately discuss evidence issues – although prior class attendees have asked us to address evidence issues.</w:t>
      </w:r>
    </w:p>
    <w:p w14:paraId="0894D98C" w14:textId="0D7BB004" w:rsidR="005D0CEA" w:rsidRDefault="005D0CEA" w:rsidP="00503A43">
      <w:pPr>
        <w:spacing w:line="480" w:lineRule="auto"/>
        <w:rPr>
          <w:i/>
          <w:iCs/>
        </w:rPr>
      </w:pPr>
      <w:r>
        <w:rPr>
          <w:i/>
          <w:iCs/>
        </w:rPr>
        <w:t xml:space="preserve">But, merely because we </w:t>
      </w:r>
      <w:r w:rsidR="00683080">
        <w:rPr>
          <w:i/>
          <w:iCs/>
        </w:rPr>
        <w:t xml:space="preserve">decided to record this series in anticipation of our NJO Class of 2021, that does not mean that a review of these evidence issues is useless to our more seasoned judges and lawyers.  </w:t>
      </w:r>
    </w:p>
    <w:p w14:paraId="5D1C2F24" w14:textId="21E75FE8" w:rsidR="00683080" w:rsidRPr="00683080" w:rsidRDefault="00683080" w:rsidP="00503A43">
      <w:pPr>
        <w:spacing w:line="480" w:lineRule="auto"/>
      </w:pPr>
      <w:r>
        <w:lastRenderedPageBreak/>
        <w:t>It is good to occasionally revisit the evidence issues that you have not really wrestled with in a while.  Keeps us all sharp.</w:t>
      </w:r>
    </w:p>
    <w:p w14:paraId="2C54512F" w14:textId="6936C90E" w:rsidR="00DD0E7E" w:rsidRPr="000B3756" w:rsidRDefault="009B44A4" w:rsidP="00503A43">
      <w:pPr>
        <w:spacing w:line="480" w:lineRule="auto"/>
        <w:rPr>
          <w:i/>
          <w:iCs/>
        </w:rPr>
      </w:pPr>
      <w:r w:rsidRPr="000B3756">
        <w:rPr>
          <w:i/>
          <w:iCs/>
        </w:rPr>
        <w:t>Thank you for listening to the Good Judge-</w:t>
      </w:r>
      <w:proofErr w:type="spellStart"/>
      <w:r w:rsidRPr="000B3756">
        <w:rPr>
          <w:i/>
          <w:iCs/>
        </w:rPr>
        <w:t>Ment</w:t>
      </w:r>
      <w:proofErr w:type="spellEnd"/>
      <w:r w:rsidRPr="000B3756">
        <w:rPr>
          <w:i/>
          <w:iCs/>
        </w:rPr>
        <w:t xml:space="preserve"> Podcast.  </w:t>
      </w:r>
    </w:p>
    <w:p w14:paraId="34787D9D" w14:textId="2736A537" w:rsidR="001E5C7E" w:rsidRPr="00FB4CCB" w:rsidRDefault="00B6132B" w:rsidP="00503A43">
      <w:pPr>
        <w:spacing w:line="480" w:lineRule="auto"/>
      </w:pPr>
      <w:r>
        <w:t>Thanks to everyone who has reached out</w:t>
      </w:r>
      <w:r w:rsidR="00424A01">
        <w:t xml:space="preserve"> to </w:t>
      </w:r>
      <w:r w:rsidR="003C63B0">
        <w:t xml:space="preserve">us at </w:t>
      </w:r>
      <w:hyperlink r:id="rId8" w:history="1">
        <w:r w:rsidRPr="003C7C67">
          <w:rPr>
            <w:rStyle w:val="Hyperlink"/>
          </w:rPr>
          <w:t>goodjudgepod@gmail.com</w:t>
        </w:r>
      </w:hyperlink>
      <w:r>
        <w:t>.  We have received a bunch of great ideas for episodes and those are in the works.</w:t>
      </w:r>
    </w:p>
    <w:p w14:paraId="055D4277" w14:textId="6E071552" w:rsidR="001E5C7E" w:rsidRPr="00FB4CCB" w:rsidRDefault="003C63B0" w:rsidP="00503A43">
      <w:pPr>
        <w:spacing w:line="480" w:lineRule="auto"/>
        <w:rPr>
          <w:i/>
          <w:iCs/>
        </w:rPr>
      </w:pPr>
      <w:r>
        <w:rPr>
          <w:i/>
          <w:iCs/>
        </w:rPr>
        <w:t xml:space="preserve">You, too, can have </w:t>
      </w:r>
      <w:r w:rsidR="00683080">
        <w:rPr>
          <w:i/>
          <w:iCs/>
        </w:rPr>
        <w:t>us</w:t>
      </w:r>
      <w:r>
        <w:rPr>
          <w:i/>
          <w:iCs/>
        </w:rPr>
        <w:t xml:space="preserve"> discuss an issue you want us to discuss</w:t>
      </w:r>
      <w:r w:rsidR="00683080">
        <w:rPr>
          <w:i/>
          <w:iCs/>
        </w:rPr>
        <w:t xml:space="preserve"> - </w:t>
      </w:r>
      <w:r>
        <w:rPr>
          <w:i/>
          <w:iCs/>
        </w:rPr>
        <w:t>but we cannot read your mind.  So send us an e-mail at goodjudgepod@gmail.com.</w:t>
      </w:r>
    </w:p>
    <w:p w14:paraId="39BB4793" w14:textId="7B75FBFD" w:rsidR="009A0744" w:rsidRPr="00683080" w:rsidRDefault="0088054E" w:rsidP="00503A43">
      <w:pPr>
        <w:spacing w:line="480" w:lineRule="auto"/>
      </w:pPr>
      <w:r w:rsidRPr="00FB4CCB">
        <w:t>You can visit our website, goodjudgepod.com</w:t>
      </w:r>
      <w:r w:rsidR="00424A01">
        <w:t xml:space="preserve">, </w:t>
      </w:r>
      <w:r w:rsidRPr="00FB4CCB">
        <w:t>for the episode notes from this and all other episodes.</w:t>
      </w:r>
      <w:r w:rsidR="00632116" w:rsidRPr="00FB4CCB">
        <w:rPr>
          <w:i/>
          <w:iCs/>
        </w:rPr>
        <w:t xml:space="preserve">  </w:t>
      </w:r>
      <w:r w:rsidR="00683080">
        <w:t xml:space="preserve">This particular outline has a BUNCH of case cites that you might want to include in your own </w:t>
      </w:r>
      <w:r w:rsidR="00A467F8">
        <w:t>criminal</w:t>
      </w:r>
      <w:r w:rsidR="00683080">
        <w:t xml:space="preserve"> notebook.</w:t>
      </w:r>
    </w:p>
    <w:p w14:paraId="5D21E449" w14:textId="13AA79AF" w:rsidR="00C53771" w:rsidRPr="00FB4CCB" w:rsidRDefault="003E554B" w:rsidP="00503A43">
      <w:pPr>
        <w:spacing w:line="480" w:lineRule="auto"/>
      </w:pPr>
      <w:r w:rsidRPr="00FB4CCB">
        <w:rPr>
          <w:i/>
          <w:iCs/>
        </w:rPr>
        <w:t>Again, thanks for listening to the Good Judge-</w:t>
      </w:r>
      <w:proofErr w:type="spellStart"/>
      <w:r w:rsidRPr="00FB4CCB">
        <w:rPr>
          <w:i/>
          <w:iCs/>
        </w:rPr>
        <w:t>Ment</w:t>
      </w:r>
      <w:proofErr w:type="spellEnd"/>
      <w:r w:rsidRPr="00FB4CCB">
        <w:rPr>
          <w:i/>
          <w:iCs/>
        </w:rPr>
        <w:t xml:space="preserve"> Podcast.  And remember</w:t>
      </w:r>
      <w:r w:rsidR="00C53771" w:rsidRPr="00FB4CCB">
        <w:rPr>
          <w:i/>
          <w:iCs/>
        </w:rPr>
        <w:t>…</w:t>
      </w:r>
      <w:r w:rsidR="00C53771" w:rsidRPr="00FB4CCB">
        <w:tab/>
      </w:r>
    </w:p>
    <w:sectPr w:rsidR="00C53771" w:rsidRPr="00FB4CCB">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91A0" w14:textId="77777777" w:rsidR="00767FC9" w:rsidRDefault="00767FC9" w:rsidP="00A45391">
      <w:pPr>
        <w:spacing w:after="0" w:line="240" w:lineRule="auto"/>
      </w:pPr>
      <w:r>
        <w:separator/>
      </w:r>
    </w:p>
  </w:endnote>
  <w:endnote w:type="continuationSeparator" w:id="0">
    <w:p w14:paraId="5F31C687" w14:textId="77777777" w:rsidR="00767FC9" w:rsidRDefault="00767FC9" w:rsidP="00A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1D7E" w14:textId="77777777" w:rsidR="00A45C29" w:rsidRDefault="00A45C29" w:rsidP="00C527D7">
    <w:pPr>
      <w:pStyle w:val="Footer"/>
      <w:tabs>
        <w:tab w:val="clear" w:pos="4680"/>
        <w:tab w:val="clear" w:pos="9360"/>
      </w:tabs>
      <w:jc w:val="center"/>
      <w:rPr>
        <w:b/>
        <w:bCs/>
        <w:sz w:val="20"/>
        <w:szCs w:val="20"/>
      </w:rPr>
    </w:pPr>
  </w:p>
  <w:p w14:paraId="17A31DA7" w14:textId="08472406" w:rsidR="00A45C29" w:rsidRDefault="004F0794" w:rsidP="00C527D7">
    <w:pPr>
      <w:pStyle w:val="Footer"/>
      <w:tabs>
        <w:tab w:val="clear" w:pos="4680"/>
        <w:tab w:val="clear" w:pos="9360"/>
      </w:tabs>
      <w:jc w:val="center"/>
      <w:rPr>
        <w:b/>
        <w:bCs/>
        <w:sz w:val="20"/>
        <w:szCs w:val="20"/>
      </w:rPr>
    </w:pPr>
    <w:r>
      <w:rPr>
        <w:b/>
        <w:bCs/>
        <w:sz w:val="20"/>
        <w:szCs w:val="20"/>
      </w:rPr>
      <w:t xml:space="preserve"> </w:t>
    </w:r>
    <w:r w:rsidR="00A45C29">
      <w:rPr>
        <w:b/>
        <w:bCs/>
        <w:sz w:val="20"/>
        <w:szCs w:val="20"/>
      </w:rPr>
      <w:t xml:space="preserve"> Episode Notes</w:t>
    </w:r>
    <w:r w:rsidR="00FE016A">
      <w:rPr>
        <w:b/>
        <w:bCs/>
        <w:sz w:val="20"/>
        <w:szCs w:val="20"/>
      </w:rPr>
      <w:t>-</w:t>
    </w:r>
    <w:r w:rsidR="0097089D">
      <w:rPr>
        <w:b/>
        <w:bCs/>
        <w:sz w:val="20"/>
        <w:szCs w:val="20"/>
      </w:rPr>
      <w:t>EVIDENCE-</w:t>
    </w:r>
    <w:r w:rsidR="00D84F24">
      <w:rPr>
        <w:b/>
        <w:bCs/>
        <w:sz w:val="20"/>
        <w:szCs w:val="20"/>
      </w:rPr>
      <w:t>CONFESSIONS AND RULE</w:t>
    </w:r>
    <w:r w:rsidR="00A467F8">
      <w:rPr>
        <w:b/>
        <w:bCs/>
        <w:sz w:val="20"/>
        <w:szCs w:val="20"/>
      </w:rPr>
      <w:t>S 823,</w:t>
    </w:r>
    <w:r w:rsidR="00D84F24">
      <w:rPr>
        <w:b/>
        <w:bCs/>
        <w:sz w:val="20"/>
        <w:szCs w:val="20"/>
      </w:rPr>
      <w:t xml:space="preserve"> 824</w:t>
    </w:r>
    <w:r w:rsidR="00A467F8">
      <w:rPr>
        <w:b/>
        <w:bCs/>
        <w:sz w:val="20"/>
        <w:szCs w:val="20"/>
      </w:rPr>
      <w:t xml:space="preserve"> AND 825</w:t>
    </w:r>
  </w:p>
  <w:p w14:paraId="67B54FF4" w14:textId="3C79AA60" w:rsidR="00A45C29" w:rsidRPr="00DB0007" w:rsidRDefault="00A45C29" w:rsidP="00C527D7">
    <w:pPr>
      <w:pStyle w:val="Footer"/>
      <w:tabs>
        <w:tab w:val="clear" w:pos="4680"/>
        <w:tab w:val="clear" w:pos="9360"/>
      </w:tabs>
      <w:jc w:val="center"/>
      <w:rPr>
        <w:b/>
        <w:bCs/>
        <w:sz w:val="20"/>
        <w:szCs w:val="20"/>
      </w:rPr>
    </w:pPr>
    <w:r>
      <w:rPr>
        <w:b/>
        <w:bCs/>
        <w:sz w:val="20"/>
        <w:szCs w:val="20"/>
      </w:rPr>
      <w:t xml:space="preserve">Recording date </w:t>
    </w:r>
    <w:r w:rsidR="0097089D">
      <w:rPr>
        <w:b/>
        <w:bCs/>
        <w:sz w:val="20"/>
        <w:szCs w:val="20"/>
      </w:rPr>
      <w:t>10/12-13/2021</w:t>
    </w:r>
  </w:p>
  <w:p w14:paraId="31C93E00" w14:textId="77777777" w:rsidR="00A45C29" w:rsidRDefault="00A45C29"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105C513B" w14:textId="77777777" w:rsidR="00A45C29" w:rsidRDefault="00A4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153F" w14:textId="77777777" w:rsidR="00767FC9" w:rsidRDefault="00767FC9" w:rsidP="00A45391">
      <w:pPr>
        <w:spacing w:after="0" w:line="240" w:lineRule="auto"/>
      </w:pPr>
      <w:r>
        <w:separator/>
      </w:r>
    </w:p>
  </w:footnote>
  <w:footnote w:type="continuationSeparator" w:id="0">
    <w:p w14:paraId="230B460B" w14:textId="77777777" w:rsidR="00767FC9" w:rsidRDefault="00767FC9" w:rsidP="00A4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718"/>
    <w:multiLevelType w:val="hybridMultilevel"/>
    <w:tmpl w:val="8E44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0497E"/>
    <w:multiLevelType w:val="hybridMultilevel"/>
    <w:tmpl w:val="26A629E2"/>
    <w:lvl w:ilvl="0" w:tplc="25FEEEDC">
      <w:numFmt w:val="bullet"/>
      <w:lvlText w:val="-"/>
      <w:lvlJc w:val="left"/>
      <w:pPr>
        <w:ind w:left="1080" w:hanging="72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D6486"/>
    <w:multiLevelType w:val="hybridMultilevel"/>
    <w:tmpl w:val="6D54A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03CFA"/>
    <w:multiLevelType w:val="hybridMultilevel"/>
    <w:tmpl w:val="103C47C4"/>
    <w:lvl w:ilvl="0" w:tplc="7D86E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C81BB0"/>
    <w:multiLevelType w:val="hybridMultilevel"/>
    <w:tmpl w:val="4942F75A"/>
    <w:lvl w:ilvl="0" w:tplc="A1C4544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4"/>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1F"/>
    <w:rsid w:val="00011F92"/>
    <w:rsid w:val="0001480E"/>
    <w:rsid w:val="0004300C"/>
    <w:rsid w:val="0004373D"/>
    <w:rsid w:val="00054C75"/>
    <w:rsid w:val="00065E1F"/>
    <w:rsid w:val="0008180D"/>
    <w:rsid w:val="000950F0"/>
    <w:rsid w:val="000A12EF"/>
    <w:rsid w:val="000B3756"/>
    <w:rsid w:val="000B6E70"/>
    <w:rsid w:val="000B794A"/>
    <w:rsid w:val="000D1357"/>
    <w:rsid w:val="000E6B96"/>
    <w:rsid w:val="000F35FD"/>
    <w:rsid w:val="00100409"/>
    <w:rsid w:val="001029B7"/>
    <w:rsid w:val="00103890"/>
    <w:rsid w:val="00103932"/>
    <w:rsid w:val="0010757C"/>
    <w:rsid w:val="00107B50"/>
    <w:rsid w:val="00122551"/>
    <w:rsid w:val="0012574D"/>
    <w:rsid w:val="00137C80"/>
    <w:rsid w:val="00142CB0"/>
    <w:rsid w:val="00146082"/>
    <w:rsid w:val="0015116A"/>
    <w:rsid w:val="00154C02"/>
    <w:rsid w:val="001560FF"/>
    <w:rsid w:val="00195C5D"/>
    <w:rsid w:val="001A111E"/>
    <w:rsid w:val="001A5FAA"/>
    <w:rsid w:val="001B25CD"/>
    <w:rsid w:val="001C261A"/>
    <w:rsid w:val="001C6D08"/>
    <w:rsid w:val="001C707A"/>
    <w:rsid w:val="001E5C7E"/>
    <w:rsid w:val="001E6167"/>
    <w:rsid w:val="001E7F01"/>
    <w:rsid w:val="002008C9"/>
    <w:rsid w:val="00204026"/>
    <w:rsid w:val="00232387"/>
    <w:rsid w:val="00236764"/>
    <w:rsid w:val="00240ED5"/>
    <w:rsid w:val="0025661A"/>
    <w:rsid w:val="00261D63"/>
    <w:rsid w:val="00264C6F"/>
    <w:rsid w:val="00264DD0"/>
    <w:rsid w:val="00284419"/>
    <w:rsid w:val="002A7CAF"/>
    <w:rsid w:val="002B001F"/>
    <w:rsid w:val="002B6B5E"/>
    <w:rsid w:val="002C055C"/>
    <w:rsid w:val="002C5093"/>
    <w:rsid w:val="002D5507"/>
    <w:rsid w:val="002E2726"/>
    <w:rsid w:val="002F37ED"/>
    <w:rsid w:val="002F672E"/>
    <w:rsid w:val="00306BF1"/>
    <w:rsid w:val="00335AAF"/>
    <w:rsid w:val="00341B9F"/>
    <w:rsid w:val="00351C09"/>
    <w:rsid w:val="0035289B"/>
    <w:rsid w:val="00376592"/>
    <w:rsid w:val="00391D47"/>
    <w:rsid w:val="003A5275"/>
    <w:rsid w:val="003B0A35"/>
    <w:rsid w:val="003B4B73"/>
    <w:rsid w:val="003C63B0"/>
    <w:rsid w:val="003D32D0"/>
    <w:rsid w:val="003D71DD"/>
    <w:rsid w:val="003D7862"/>
    <w:rsid w:val="003E554B"/>
    <w:rsid w:val="004018CE"/>
    <w:rsid w:val="00410699"/>
    <w:rsid w:val="004146A9"/>
    <w:rsid w:val="00424A01"/>
    <w:rsid w:val="004350FA"/>
    <w:rsid w:val="00442E3B"/>
    <w:rsid w:val="004525D6"/>
    <w:rsid w:val="004649F4"/>
    <w:rsid w:val="00472481"/>
    <w:rsid w:val="00486D2D"/>
    <w:rsid w:val="0049104C"/>
    <w:rsid w:val="004A1375"/>
    <w:rsid w:val="004A2D07"/>
    <w:rsid w:val="004B6A54"/>
    <w:rsid w:val="004D52B2"/>
    <w:rsid w:val="004E1F35"/>
    <w:rsid w:val="004E3958"/>
    <w:rsid w:val="004E7D65"/>
    <w:rsid w:val="004F0794"/>
    <w:rsid w:val="00503A43"/>
    <w:rsid w:val="005047B8"/>
    <w:rsid w:val="00505022"/>
    <w:rsid w:val="00511AB2"/>
    <w:rsid w:val="00515772"/>
    <w:rsid w:val="00523787"/>
    <w:rsid w:val="00566EA5"/>
    <w:rsid w:val="005A0E4E"/>
    <w:rsid w:val="005A7A5D"/>
    <w:rsid w:val="005B1062"/>
    <w:rsid w:val="005D02EA"/>
    <w:rsid w:val="005D0CEA"/>
    <w:rsid w:val="005D2B4D"/>
    <w:rsid w:val="005E1547"/>
    <w:rsid w:val="005E1988"/>
    <w:rsid w:val="00602BFF"/>
    <w:rsid w:val="00603910"/>
    <w:rsid w:val="006075E5"/>
    <w:rsid w:val="00612880"/>
    <w:rsid w:val="00631402"/>
    <w:rsid w:val="00632116"/>
    <w:rsid w:val="00650306"/>
    <w:rsid w:val="006727EB"/>
    <w:rsid w:val="006820D0"/>
    <w:rsid w:val="00683080"/>
    <w:rsid w:val="006919F7"/>
    <w:rsid w:val="00696A9E"/>
    <w:rsid w:val="006A637F"/>
    <w:rsid w:val="006B0AAD"/>
    <w:rsid w:val="006B5ACE"/>
    <w:rsid w:val="006B7A40"/>
    <w:rsid w:val="006C3392"/>
    <w:rsid w:val="006E0603"/>
    <w:rsid w:val="00703990"/>
    <w:rsid w:val="00711DAC"/>
    <w:rsid w:val="007213E9"/>
    <w:rsid w:val="007638AA"/>
    <w:rsid w:val="00767FC9"/>
    <w:rsid w:val="007715D7"/>
    <w:rsid w:val="0077284D"/>
    <w:rsid w:val="0077362A"/>
    <w:rsid w:val="007A7D35"/>
    <w:rsid w:val="007B06E6"/>
    <w:rsid w:val="007B1A76"/>
    <w:rsid w:val="007C418E"/>
    <w:rsid w:val="007E15F1"/>
    <w:rsid w:val="00816821"/>
    <w:rsid w:val="00820B40"/>
    <w:rsid w:val="0082104C"/>
    <w:rsid w:val="00827F27"/>
    <w:rsid w:val="008320D7"/>
    <w:rsid w:val="00832B60"/>
    <w:rsid w:val="00832C5C"/>
    <w:rsid w:val="00834E7F"/>
    <w:rsid w:val="00835057"/>
    <w:rsid w:val="00846E75"/>
    <w:rsid w:val="0088054E"/>
    <w:rsid w:val="0089200E"/>
    <w:rsid w:val="008B5E4C"/>
    <w:rsid w:val="008B7661"/>
    <w:rsid w:val="008C2A9D"/>
    <w:rsid w:val="008E07DF"/>
    <w:rsid w:val="008F365C"/>
    <w:rsid w:val="008F4907"/>
    <w:rsid w:val="008F76CD"/>
    <w:rsid w:val="00900C32"/>
    <w:rsid w:val="00902E9D"/>
    <w:rsid w:val="00906DCC"/>
    <w:rsid w:val="009148D9"/>
    <w:rsid w:val="00934211"/>
    <w:rsid w:val="009421C6"/>
    <w:rsid w:val="00943B49"/>
    <w:rsid w:val="00951783"/>
    <w:rsid w:val="00954B31"/>
    <w:rsid w:val="0097089D"/>
    <w:rsid w:val="00975E58"/>
    <w:rsid w:val="009935F1"/>
    <w:rsid w:val="009A0744"/>
    <w:rsid w:val="009A1C12"/>
    <w:rsid w:val="009A23D9"/>
    <w:rsid w:val="009A60C3"/>
    <w:rsid w:val="009B1FC5"/>
    <w:rsid w:val="009B3A1D"/>
    <w:rsid w:val="009B44A4"/>
    <w:rsid w:val="009C4A09"/>
    <w:rsid w:val="009F2154"/>
    <w:rsid w:val="00A25431"/>
    <w:rsid w:val="00A31745"/>
    <w:rsid w:val="00A32E4D"/>
    <w:rsid w:val="00A35755"/>
    <w:rsid w:val="00A45391"/>
    <w:rsid w:val="00A45C29"/>
    <w:rsid w:val="00A467F8"/>
    <w:rsid w:val="00A76BE1"/>
    <w:rsid w:val="00A802CD"/>
    <w:rsid w:val="00A81641"/>
    <w:rsid w:val="00A84D53"/>
    <w:rsid w:val="00A97568"/>
    <w:rsid w:val="00A9758D"/>
    <w:rsid w:val="00AA0FC1"/>
    <w:rsid w:val="00AB112F"/>
    <w:rsid w:val="00AC2A8C"/>
    <w:rsid w:val="00AC66DB"/>
    <w:rsid w:val="00AC7A81"/>
    <w:rsid w:val="00AC7E2B"/>
    <w:rsid w:val="00AE04FB"/>
    <w:rsid w:val="00AE4BCA"/>
    <w:rsid w:val="00B1269D"/>
    <w:rsid w:val="00B164FE"/>
    <w:rsid w:val="00B211CF"/>
    <w:rsid w:val="00B25E7E"/>
    <w:rsid w:val="00B3401D"/>
    <w:rsid w:val="00B342CF"/>
    <w:rsid w:val="00B51654"/>
    <w:rsid w:val="00B61178"/>
    <w:rsid w:val="00B6132B"/>
    <w:rsid w:val="00B62727"/>
    <w:rsid w:val="00B82B01"/>
    <w:rsid w:val="00B900A0"/>
    <w:rsid w:val="00B962EC"/>
    <w:rsid w:val="00BA6C7A"/>
    <w:rsid w:val="00BC0F72"/>
    <w:rsid w:val="00BD7D8E"/>
    <w:rsid w:val="00BF7933"/>
    <w:rsid w:val="00C01FF1"/>
    <w:rsid w:val="00C041B3"/>
    <w:rsid w:val="00C11E3D"/>
    <w:rsid w:val="00C4773E"/>
    <w:rsid w:val="00C505A7"/>
    <w:rsid w:val="00C5291C"/>
    <w:rsid w:val="00C53771"/>
    <w:rsid w:val="00C5403F"/>
    <w:rsid w:val="00C5423F"/>
    <w:rsid w:val="00C55C6A"/>
    <w:rsid w:val="00C71010"/>
    <w:rsid w:val="00C7413C"/>
    <w:rsid w:val="00C77C59"/>
    <w:rsid w:val="00C9093C"/>
    <w:rsid w:val="00CB60AA"/>
    <w:rsid w:val="00CE2ABA"/>
    <w:rsid w:val="00D1783A"/>
    <w:rsid w:val="00D26207"/>
    <w:rsid w:val="00D34266"/>
    <w:rsid w:val="00D37377"/>
    <w:rsid w:val="00D5117B"/>
    <w:rsid w:val="00D54556"/>
    <w:rsid w:val="00D5793A"/>
    <w:rsid w:val="00D730C5"/>
    <w:rsid w:val="00D7732E"/>
    <w:rsid w:val="00D84F24"/>
    <w:rsid w:val="00D944C6"/>
    <w:rsid w:val="00D97BEB"/>
    <w:rsid w:val="00DA44F4"/>
    <w:rsid w:val="00DC1FBD"/>
    <w:rsid w:val="00DD0BC7"/>
    <w:rsid w:val="00DD0E7E"/>
    <w:rsid w:val="00DD4A11"/>
    <w:rsid w:val="00DE1378"/>
    <w:rsid w:val="00DE2E3C"/>
    <w:rsid w:val="00DF021B"/>
    <w:rsid w:val="00DF2D73"/>
    <w:rsid w:val="00E04E48"/>
    <w:rsid w:val="00E12F81"/>
    <w:rsid w:val="00E14AC3"/>
    <w:rsid w:val="00E220E7"/>
    <w:rsid w:val="00E25AE0"/>
    <w:rsid w:val="00E43CA3"/>
    <w:rsid w:val="00E4559B"/>
    <w:rsid w:val="00E46B29"/>
    <w:rsid w:val="00E60132"/>
    <w:rsid w:val="00E62727"/>
    <w:rsid w:val="00E62C14"/>
    <w:rsid w:val="00E661E0"/>
    <w:rsid w:val="00E80449"/>
    <w:rsid w:val="00E806A0"/>
    <w:rsid w:val="00E8297D"/>
    <w:rsid w:val="00E95D98"/>
    <w:rsid w:val="00E9647C"/>
    <w:rsid w:val="00EA46B4"/>
    <w:rsid w:val="00EB3232"/>
    <w:rsid w:val="00EB34F5"/>
    <w:rsid w:val="00EC3A86"/>
    <w:rsid w:val="00EE28D5"/>
    <w:rsid w:val="00EE2B41"/>
    <w:rsid w:val="00F04D88"/>
    <w:rsid w:val="00F15F5B"/>
    <w:rsid w:val="00F216DC"/>
    <w:rsid w:val="00F2490C"/>
    <w:rsid w:val="00F60A9F"/>
    <w:rsid w:val="00F61CC7"/>
    <w:rsid w:val="00F72996"/>
    <w:rsid w:val="00F9397D"/>
    <w:rsid w:val="00FA180C"/>
    <w:rsid w:val="00FB1944"/>
    <w:rsid w:val="00FB4CCB"/>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0146"/>
  <w15:chartTrackingRefBased/>
  <w15:docId w15:val="{2C0571A6-045E-451F-B817-7369457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8"/>
        <w:szCs w:val="28"/>
        <w:lang w:val="en-US" w:eastAsia="en-US" w:bidi="ar-SA"/>
      </w:rPr>
    </w:rPrDefault>
    <w:pPrDefault>
      <w:pPr>
        <w:spacing w:after="24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8D"/>
    <w:pPr>
      <w:spacing w:after="200" w:line="27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
    <w:name w:val="Legal Quote"/>
    <w:basedOn w:val="Normal"/>
    <w:qFormat/>
    <w:rsid w:val="00FB1944"/>
    <w:pPr>
      <w:keepNext/>
      <w:spacing w:before="240" w:after="240" w:line="240" w:lineRule="auto"/>
      <w:ind w:left="720" w:right="720"/>
    </w:pPr>
  </w:style>
  <w:style w:type="character" w:styleId="EndnoteReference">
    <w:name w:val="endnote reference"/>
    <w:basedOn w:val="DefaultParagraphFont"/>
    <w:uiPriority w:val="99"/>
    <w:unhideWhenUsed/>
    <w:qFormat/>
    <w:rsid w:val="0001480E"/>
    <w:rPr>
      <w:rFonts w:ascii="Times New Roman" w:hAnsi="Times New Roman"/>
      <w:b/>
      <w:caps w:val="0"/>
      <w:smallCaps w:val="0"/>
      <w:strike w:val="0"/>
      <w:dstrike w:val="0"/>
      <w:vanish w:val="0"/>
      <w:color w:val="auto"/>
      <w:sz w:val="24"/>
      <w:bdr w:val="none" w:sz="0" w:space="0" w:color="auto"/>
      <w:vertAlign w:val="superscript"/>
    </w:rPr>
  </w:style>
  <w:style w:type="paragraph" w:styleId="EndnoteText">
    <w:name w:val="endnote text"/>
    <w:basedOn w:val="Normal"/>
    <w:link w:val="EndnoteTextChar"/>
    <w:uiPriority w:val="99"/>
    <w:unhideWhenUsed/>
    <w:qFormat/>
    <w:rsid w:val="00A35755"/>
    <w:pPr>
      <w:spacing w:line="240" w:lineRule="auto"/>
      <w:ind w:left="432" w:hanging="432"/>
    </w:pPr>
    <w:rPr>
      <w:szCs w:val="20"/>
    </w:rPr>
  </w:style>
  <w:style w:type="character" w:customStyle="1" w:styleId="EndnoteTextChar">
    <w:name w:val="Endnote Text Char"/>
    <w:basedOn w:val="DefaultParagraphFont"/>
    <w:link w:val="EndnoteText"/>
    <w:uiPriority w:val="99"/>
    <w:rsid w:val="00A35755"/>
    <w:rPr>
      <w:szCs w:val="20"/>
    </w:rPr>
  </w:style>
  <w:style w:type="paragraph" w:styleId="ListParagraph">
    <w:name w:val="List Paragraph"/>
    <w:basedOn w:val="Normal"/>
    <w:uiPriority w:val="34"/>
    <w:qFormat/>
    <w:rsid w:val="002D5507"/>
    <w:pPr>
      <w:numPr>
        <w:numId w:val="2"/>
      </w:numPr>
      <w:tabs>
        <w:tab w:val="num" w:pos="360"/>
      </w:tabs>
      <w:ind w:left="0" w:firstLine="0"/>
    </w:pPr>
  </w:style>
  <w:style w:type="paragraph" w:customStyle="1" w:styleId="Legalquote0">
    <w:name w:val="Legal quote"/>
    <w:basedOn w:val="Normal"/>
    <w:qFormat/>
    <w:rsid w:val="00820B40"/>
    <w:pPr>
      <w:spacing w:before="240" w:after="240" w:line="240" w:lineRule="auto"/>
      <w:ind w:left="720" w:right="720"/>
    </w:pPr>
    <w:rPr>
      <w:rFonts w:eastAsiaTheme="minorHAnsi"/>
    </w:rPr>
  </w:style>
  <w:style w:type="character" w:styleId="FootnoteReference">
    <w:name w:val="footnote reference"/>
    <w:basedOn w:val="DefaultParagraphFont"/>
    <w:uiPriority w:val="99"/>
    <w:unhideWhenUsed/>
    <w:rsid w:val="00B962EC"/>
    <w:rPr>
      <w:rFonts w:ascii="Times New Roman" w:hAnsi="Times New Roman"/>
      <w:b/>
      <w:color w:val="auto"/>
      <w:sz w:val="24"/>
      <w:vertAlign w:val="superscript"/>
    </w:rPr>
  </w:style>
  <w:style w:type="paragraph" w:styleId="Header">
    <w:name w:val="header"/>
    <w:basedOn w:val="Normal"/>
    <w:link w:val="HeaderChar"/>
    <w:uiPriority w:val="99"/>
    <w:unhideWhenUsed/>
    <w:rsid w:val="00A4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9"/>
    <w:rPr>
      <w:rFonts w:cs="Times New Roman"/>
    </w:rPr>
  </w:style>
  <w:style w:type="paragraph" w:styleId="Footer">
    <w:name w:val="footer"/>
    <w:basedOn w:val="Normal"/>
    <w:link w:val="FooterChar"/>
    <w:uiPriority w:val="99"/>
    <w:unhideWhenUsed/>
    <w:rsid w:val="00A4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9"/>
    <w:rPr>
      <w:rFonts w:cs="Times New Roman"/>
    </w:rPr>
  </w:style>
  <w:style w:type="character" w:styleId="Hyperlink">
    <w:name w:val="Hyperlink"/>
    <w:basedOn w:val="DefaultParagraphFont"/>
    <w:uiPriority w:val="99"/>
    <w:unhideWhenUsed/>
    <w:rsid w:val="00DC1FBD"/>
    <w:rPr>
      <w:color w:val="0563C1" w:themeColor="hyperlink"/>
      <w:u w:val="single"/>
    </w:rPr>
  </w:style>
  <w:style w:type="character" w:styleId="UnresolvedMention">
    <w:name w:val="Unresolved Mention"/>
    <w:basedOn w:val="DefaultParagraphFont"/>
    <w:uiPriority w:val="99"/>
    <w:semiHidden/>
    <w:unhideWhenUsed/>
    <w:rsid w:val="00DC1FBD"/>
    <w:rPr>
      <w:color w:val="605E5C"/>
      <w:shd w:val="clear" w:color="auto" w:fill="E1DFDD"/>
    </w:rPr>
  </w:style>
  <w:style w:type="character" w:styleId="Emphasis">
    <w:name w:val="Emphasis"/>
    <w:basedOn w:val="DefaultParagraphFont"/>
    <w:uiPriority w:val="20"/>
    <w:qFormat/>
    <w:rsid w:val="003B0A35"/>
    <w:rPr>
      <w:i/>
      <w:iCs/>
    </w:rPr>
  </w:style>
  <w:style w:type="paragraph" w:styleId="FootnoteText">
    <w:name w:val="footnote text"/>
    <w:basedOn w:val="Normal"/>
    <w:link w:val="FootnoteTextChar"/>
    <w:uiPriority w:val="99"/>
    <w:semiHidden/>
    <w:unhideWhenUsed/>
    <w:qFormat/>
    <w:rsid w:val="00A9758D"/>
    <w:pPr>
      <w:spacing w:after="0" w:line="240" w:lineRule="auto"/>
    </w:pPr>
    <w:rPr>
      <w:rFonts w:eastAsiaTheme="minorHAnsi" w:cstheme="minorBidi"/>
      <w:sz w:val="24"/>
      <w:szCs w:val="20"/>
    </w:rPr>
  </w:style>
  <w:style w:type="character" w:customStyle="1" w:styleId="FootnoteTextChar">
    <w:name w:val="Footnote Text Char"/>
    <w:basedOn w:val="DefaultParagraphFont"/>
    <w:link w:val="FootnoteText"/>
    <w:uiPriority w:val="99"/>
    <w:semiHidden/>
    <w:rsid w:val="00A9758D"/>
    <w:rPr>
      <w:rFonts w:eastAsiaTheme="minorHAnsi" w:cstheme="min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517">
      <w:bodyDiv w:val="1"/>
      <w:marLeft w:val="0"/>
      <w:marRight w:val="0"/>
      <w:marTop w:val="0"/>
      <w:marBottom w:val="0"/>
      <w:divBdr>
        <w:top w:val="none" w:sz="0" w:space="0" w:color="auto"/>
        <w:left w:val="none" w:sz="0" w:space="0" w:color="auto"/>
        <w:bottom w:val="none" w:sz="0" w:space="0" w:color="auto"/>
        <w:right w:val="none" w:sz="0" w:space="0" w:color="auto"/>
      </w:divBdr>
      <w:divsChild>
        <w:div w:id="589850243">
          <w:marLeft w:val="0"/>
          <w:marRight w:val="0"/>
          <w:marTop w:val="0"/>
          <w:marBottom w:val="0"/>
          <w:divBdr>
            <w:top w:val="none" w:sz="0" w:space="0" w:color="auto"/>
            <w:left w:val="none" w:sz="0" w:space="0" w:color="auto"/>
            <w:bottom w:val="none" w:sz="0" w:space="0" w:color="auto"/>
            <w:right w:val="none" w:sz="0" w:space="0" w:color="auto"/>
          </w:divBdr>
          <w:divsChild>
            <w:div w:id="1311792548">
              <w:marLeft w:val="0"/>
              <w:marRight w:val="0"/>
              <w:marTop w:val="0"/>
              <w:marBottom w:val="0"/>
              <w:divBdr>
                <w:top w:val="none" w:sz="0" w:space="0" w:color="auto"/>
                <w:left w:val="none" w:sz="0" w:space="0" w:color="auto"/>
                <w:bottom w:val="none" w:sz="0" w:space="0" w:color="auto"/>
                <w:right w:val="none" w:sz="0" w:space="0" w:color="auto"/>
              </w:divBdr>
            </w:div>
            <w:div w:id="916088446">
              <w:marLeft w:val="0"/>
              <w:marRight w:val="0"/>
              <w:marTop w:val="0"/>
              <w:marBottom w:val="0"/>
              <w:divBdr>
                <w:top w:val="none" w:sz="0" w:space="0" w:color="auto"/>
                <w:left w:val="none" w:sz="0" w:space="0" w:color="auto"/>
                <w:bottom w:val="none" w:sz="0" w:space="0" w:color="auto"/>
                <w:right w:val="none" w:sz="0" w:space="0" w:color="auto"/>
              </w:divBdr>
              <w:divsChild>
                <w:div w:id="1205096738">
                  <w:marLeft w:val="0"/>
                  <w:marRight w:val="0"/>
                  <w:marTop w:val="0"/>
                  <w:marBottom w:val="0"/>
                  <w:divBdr>
                    <w:top w:val="none" w:sz="0" w:space="0" w:color="auto"/>
                    <w:left w:val="none" w:sz="0" w:space="0" w:color="auto"/>
                    <w:bottom w:val="none" w:sz="0" w:space="0" w:color="auto"/>
                    <w:right w:val="none" w:sz="0" w:space="0" w:color="auto"/>
                  </w:divBdr>
                  <w:divsChild>
                    <w:div w:id="1348024252">
                      <w:blockQuote w:val="1"/>
                      <w:marLeft w:val="0"/>
                      <w:marRight w:val="0"/>
                      <w:marTop w:val="0"/>
                      <w:marBottom w:val="0"/>
                      <w:divBdr>
                        <w:top w:val="none" w:sz="0" w:space="0" w:color="auto"/>
                        <w:left w:val="none" w:sz="0" w:space="0" w:color="auto"/>
                        <w:bottom w:val="none" w:sz="0" w:space="0" w:color="auto"/>
                        <w:right w:val="none" w:sz="0" w:space="0" w:color="auto"/>
                      </w:divBdr>
                      <w:divsChild>
                        <w:div w:id="1913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6724">
          <w:marLeft w:val="0"/>
          <w:marRight w:val="0"/>
          <w:marTop w:val="0"/>
          <w:marBottom w:val="0"/>
          <w:divBdr>
            <w:top w:val="none" w:sz="0" w:space="0" w:color="auto"/>
            <w:left w:val="none" w:sz="0" w:space="0" w:color="auto"/>
            <w:bottom w:val="none" w:sz="0" w:space="0" w:color="auto"/>
            <w:right w:val="none" w:sz="0" w:space="0" w:color="auto"/>
          </w:divBdr>
          <w:divsChild>
            <w:div w:id="13496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1719">
      <w:bodyDiv w:val="1"/>
      <w:marLeft w:val="0"/>
      <w:marRight w:val="0"/>
      <w:marTop w:val="0"/>
      <w:marBottom w:val="0"/>
      <w:divBdr>
        <w:top w:val="none" w:sz="0" w:space="0" w:color="auto"/>
        <w:left w:val="none" w:sz="0" w:space="0" w:color="auto"/>
        <w:bottom w:val="none" w:sz="0" w:space="0" w:color="auto"/>
        <w:right w:val="none" w:sz="0" w:space="0" w:color="auto"/>
      </w:divBdr>
      <w:divsChild>
        <w:div w:id="1851942114">
          <w:marLeft w:val="0"/>
          <w:marRight w:val="0"/>
          <w:marTop w:val="0"/>
          <w:marBottom w:val="0"/>
          <w:divBdr>
            <w:top w:val="none" w:sz="0" w:space="0" w:color="auto"/>
            <w:left w:val="none" w:sz="0" w:space="0" w:color="auto"/>
            <w:bottom w:val="none" w:sz="0" w:space="0" w:color="auto"/>
            <w:right w:val="none" w:sz="0" w:space="0" w:color="auto"/>
          </w:divBdr>
        </w:div>
        <w:div w:id="805658405">
          <w:marLeft w:val="0"/>
          <w:marRight w:val="0"/>
          <w:marTop w:val="0"/>
          <w:marBottom w:val="0"/>
          <w:divBdr>
            <w:top w:val="none" w:sz="0" w:space="0" w:color="auto"/>
            <w:left w:val="none" w:sz="0" w:space="0" w:color="auto"/>
            <w:bottom w:val="none" w:sz="0" w:space="0" w:color="auto"/>
            <w:right w:val="none" w:sz="0" w:space="0" w:color="auto"/>
          </w:divBdr>
          <w:divsChild>
            <w:div w:id="1510486501">
              <w:marLeft w:val="0"/>
              <w:marRight w:val="0"/>
              <w:marTop w:val="0"/>
              <w:marBottom w:val="0"/>
              <w:divBdr>
                <w:top w:val="none" w:sz="0" w:space="0" w:color="auto"/>
                <w:left w:val="none" w:sz="0" w:space="0" w:color="auto"/>
                <w:bottom w:val="none" w:sz="0" w:space="0" w:color="auto"/>
                <w:right w:val="none" w:sz="0" w:space="0" w:color="auto"/>
              </w:divBdr>
            </w:div>
          </w:divsChild>
        </w:div>
        <w:div w:id="1437753101">
          <w:marLeft w:val="0"/>
          <w:marRight w:val="0"/>
          <w:marTop w:val="0"/>
          <w:marBottom w:val="0"/>
          <w:divBdr>
            <w:top w:val="none" w:sz="0" w:space="0" w:color="auto"/>
            <w:left w:val="none" w:sz="0" w:space="0" w:color="auto"/>
            <w:bottom w:val="none" w:sz="0" w:space="0" w:color="auto"/>
            <w:right w:val="none" w:sz="0" w:space="0" w:color="auto"/>
          </w:divBdr>
          <w:divsChild>
            <w:div w:id="1034237237">
              <w:marLeft w:val="0"/>
              <w:marRight w:val="0"/>
              <w:marTop w:val="0"/>
              <w:marBottom w:val="0"/>
              <w:divBdr>
                <w:top w:val="none" w:sz="0" w:space="0" w:color="auto"/>
                <w:left w:val="none" w:sz="0" w:space="0" w:color="auto"/>
                <w:bottom w:val="none" w:sz="0" w:space="0" w:color="auto"/>
                <w:right w:val="none" w:sz="0" w:space="0" w:color="auto"/>
              </w:divBdr>
            </w:div>
          </w:divsChild>
        </w:div>
        <w:div w:id="699628134">
          <w:marLeft w:val="0"/>
          <w:marRight w:val="0"/>
          <w:marTop w:val="0"/>
          <w:marBottom w:val="0"/>
          <w:divBdr>
            <w:top w:val="none" w:sz="0" w:space="0" w:color="auto"/>
            <w:left w:val="none" w:sz="0" w:space="0" w:color="auto"/>
            <w:bottom w:val="none" w:sz="0" w:space="0" w:color="auto"/>
            <w:right w:val="none" w:sz="0" w:space="0" w:color="auto"/>
          </w:divBdr>
          <w:divsChild>
            <w:div w:id="268707857">
              <w:marLeft w:val="0"/>
              <w:marRight w:val="0"/>
              <w:marTop w:val="0"/>
              <w:marBottom w:val="0"/>
              <w:divBdr>
                <w:top w:val="none" w:sz="0" w:space="0" w:color="auto"/>
                <w:left w:val="none" w:sz="0" w:space="0" w:color="auto"/>
                <w:bottom w:val="none" w:sz="0" w:space="0" w:color="auto"/>
                <w:right w:val="none" w:sz="0" w:space="0" w:color="auto"/>
              </w:divBdr>
            </w:div>
          </w:divsChild>
        </w:div>
        <w:div w:id="1150636092">
          <w:marLeft w:val="0"/>
          <w:marRight w:val="0"/>
          <w:marTop w:val="0"/>
          <w:marBottom w:val="0"/>
          <w:divBdr>
            <w:top w:val="none" w:sz="0" w:space="0" w:color="auto"/>
            <w:left w:val="none" w:sz="0" w:space="0" w:color="auto"/>
            <w:bottom w:val="none" w:sz="0" w:space="0" w:color="auto"/>
            <w:right w:val="none" w:sz="0" w:space="0" w:color="auto"/>
          </w:divBdr>
          <w:divsChild>
            <w:div w:id="1472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0626">
      <w:bodyDiv w:val="1"/>
      <w:marLeft w:val="0"/>
      <w:marRight w:val="0"/>
      <w:marTop w:val="0"/>
      <w:marBottom w:val="0"/>
      <w:divBdr>
        <w:top w:val="none" w:sz="0" w:space="0" w:color="auto"/>
        <w:left w:val="none" w:sz="0" w:space="0" w:color="auto"/>
        <w:bottom w:val="none" w:sz="0" w:space="0" w:color="auto"/>
        <w:right w:val="none" w:sz="0" w:space="0" w:color="auto"/>
      </w:divBdr>
      <w:divsChild>
        <w:div w:id="1115520994">
          <w:marLeft w:val="0"/>
          <w:marRight w:val="0"/>
          <w:marTop w:val="0"/>
          <w:marBottom w:val="0"/>
          <w:divBdr>
            <w:top w:val="none" w:sz="0" w:space="0" w:color="auto"/>
            <w:left w:val="none" w:sz="0" w:space="0" w:color="auto"/>
            <w:bottom w:val="none" w:sz="0" w:space="0" w:color="auto"/>
            <w:right w:val="none" w:sz="0" w:space="0" w:color="auto"/>
          </w:divBdr>
        </w:div>
      </w:divsChild>
    </w:div>
    <w:div w:id="556628183">
      <w:bodyDiv w:val="1"/>
      <w:marLeft w:val="0"/>
      <w:marRight w:val="0"/>
      <w:marTop w:val="0"/>
      <w:marBottom w:val="0"/>
      <w:divBdr>
        <w:top w:val="none" w:sz="0" w:space="0" w:color="auto"/>
        <w:left w:val="none" w:sz="0" w:space="0" w:color="auto"/>
        <w:bottom w:val="none" w:sz="0" w:space="0" w:color="auto"/>
        <w:right w:val="none" w:sz="0" w:space="0" w:color="auto"/>
      </w:divBdr>
      <w:divsChild>
        <w:div w:id="1712874060">
          <w:marLeft w:val="0"/>
          <w:marRight w:val="0"/>
          <w:marTop w:val="0"/>
          <w:marBottom w:val="0"/>
          <w:divBdr>
            <w:top w:val="none" w:sz="0" w:space="0" w:color="auto"/>
            <w:left w:val="none" w:sz="0" w:space="0" w:color="auto"/>
            <w:bottom w:val="none" w:sz="0" w:space="0" w:color="auto"/>
            <w:right w:val="none" w:sz="0" w:space="0" w:color="auto"/>
          </w:divBdr>
          <w:divsChild>
            <w:div w:id="1791166464">
              <w:marLeft w:val="0"/>
              <w:marRight w:val="0"/>
              <w:marTop w:val="0"/>
              <w:marBottom w:val="0"/>
              <w:divBdr>
                <w:top w:val="none" w:sz="0" w:space="0" w:color="auto"/>
                <w:left w:val="none" w:sz="0" w:space="0" w:color="auto"/>
                <w:bottom w:val="none" w:sz="0" w:space="0" w:color="auto"/>
                <w:right w:val="none" w:sz="0" w:space="0" w:color="auto"/>
              </w:divBdr>
            </w:div>
          </w:divsChild>
        </w:div>
        <w:div w:id="1800566189">
          <w:marLeft w:val="0"/>
          <w:marRight w:val="0"/>
          <w:marTop w:val="0"/>
          <w:marBottom w:val="0"/>
          <w:divBdr>
            <w:top w:val="none" w:sz="0" w:space="0" w:color="auto"/>
            <w:left w:val="none" w:sz="0" w:space="0" w:color="auto"/>
            <w:bottom w:val="none" w:sz="0" w:space="0" w:color="auto"/>
            <w:right w:val="none" w:sz="0" w:space="0" w:color="auto"/>
          </w:divBdr>
          <w:divsChild>
            <w:div w:id="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3035">
      <w:bodyDiv w:val="1"/>
      <w:marLeft w:val="0"/>
      <w:marRight w:val="0"/>
      <w:marTop w:val="0"/>
      <w:marBottom w:val="0"/>
      <w:divBdr>
        <w:top w:val="none" w:sz="0" w:space="0" w:color="auto"/>
        <w:left w:val="none" w:sz="0" w:space="0" w:color="auto"/>
        <w:bottom w:val="none" w:sz="0" w:space="0" w:color="auto"/>
        <w:right w:val="none" w:sz="0" w:space="0" w:color="auto"/>
      </w:divBdr>
      <w:divsChild>
        <w:div w:id="1572348601">
          <w:marLeft w:val="0"/>
          <w:marRight w:val="0"/>
          <w:marTop w:val="0"/>
          <w:marBottom w:val="0"/>
          <w:divBdr>
            <w:top w:val="none" w:sz="0" w:space="0" w:color="auto"/>
            <w:left w:val="none" w:sz="0" w:space="0" w:color="auto"/>
            <w:bottom w:val="none" w:sz="0" w:space="0" w:color="auto"/>
            <w:right w:val="none" w:sz="0" w:space="0" w:color="auto"/>
          </w:divBdr>
          <w:divsChild>
            <w:div w:id="1432971634">
              <w:marLeft w:val="0"/>
              <w:marRight w:val="0"/>
              <w:marTop w:val="0"/>
              <w:marBottom w:val="0"/>
              <w:divBdr>
                <w:top w:val="none" w:sz="0" w:space="0" w:color="auto"/>
                <w:left w:val="none" w:sz="0" w:space="0" w:color="auto"/>
                <w:bottom w:val="none" w:sz="0" w:space="0" w:color="auto"/>
                <w:right w:val="none" w:sz="0" w:space="0" w:color="auto"/>
              </w:divBdr>
            </w:div>
          </w:divsChild>
        </w:div>
        <w:div w:id="1828662996">
          <w:marLeft w:val="0"/>
          <w:marRight w:val="0"/>
          <w:marTop w:val="0"/>
          <w:marBottom w:val="0"/>
          <w:divBdr>
            <w:top w:val="none" w:sz="0" w:space="0" w:color="auto"/>
            <w:left w:val="none" w:sz="0" w:space="0" w:color="auto"/>
            <w:bottom w:val="none" w:sz="0" w:space="0" w:color="auto"/>
            <w:right w:val="none" w:sz="0" w:space="0" w:color="auto"/>
          </w:divBdr>
          <w:divsChild>
            <w:div w:id="446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4376">
      <w:bodyDiv w:val="1"/>
      <w:marLeft w:val="0"/>
      <w:marRight w:val="0"/>
      <w:marTop w:val="0"/>
      <w:marBottom w:val="0"/>
      <w:divBdr>
        <w:top w:val="none" w:sz="0" w:space="0" w:color="auto"/>
        <w:left w:val="none" w:sz="0" w:space="0" w:color="auto"/>
        <w:bottom w:val="none" w:sz="0" w:space="0" w:color="auto"/>
        <w:right w:val="none" w:sz="0" w:space="0" w:color="auto"/>
      </w:divBdr>
      <w:divsChild>
        <w:div w:id="121969927">
          <w:marLeft w:val="0"/>
          <w:marRight w:val="0"/>
          <w:marTop w:val="0"/>
          <w:marBottom w:val="0"/>
          <w:divBdr>
            <w:top w:val="none" w:sz="0" w:space="0" w:color="auto"/>
            <w:left w:val="none" w:sz="0" w:space="0" w:color="auto"/>
            <w:bottom w:val="none" w:sz="0" w:space="0" w:color="auto"/>
            <w:right w:val="none" w:sz="0" w:space="0" w:color="auto"/>
          </w:divBdr>
        </w:div>
      </w:divsChild>
    </w:div>
    <w:div w:id="745225894">
      <w:bodyDiv w:val="1"/>
      <w:marLeft w:val="0"/>
      <w:marRight w:val="0"/>
      <w:marTop w:val="0"/>
      <w:marBottom w:val="0"/>
      <w:divBdr>
        <w:top w:val="none" w:sz="0" w:space="0" w:color="auto"/>
        <w:left w:val="none" w:sz="0" w:space="0" w:color="auto"/>
        <w:bottom w:val="none" w:sz="0" w:space="0" w:color="auto"/>
        <w:right w:val="none" w:sz="0" w:space="0" w:color="auto"/>
      </w:divBdr>
      <w:divsChild>
        <w:div w:id="1230533290">
          <w:marLeft w:val="0"/>
          <w:marRight w:val="0"/>
          <w:marTop w:val="0"/>
          <w:marBottom w:val="0"/>
          <w:divBdr>
            <w:top w:val="none" w:sz="0" w:space="0" w:color="auto"/>
            <w:left w:val="none" w:sz="0" w:space="0" w:color="auto"/>
            <w:bottom w:val="none" w:sz="0" w:space="0" w:color="auto"/>
            <w:right w:val="none" w:sz="0" w:space="0" w:color="auto"/>
          </w:divBdr>
          <w:divsChild>
            <w:div w:id="1938169356">
              <w:marLeft w:val="0"/>
              <w:marRight w:val="0"/>
              <w:marTop w:val="0"/>
              <w:marBottom w:val="0"/>
              <w:divBdr>
                <w:top w:val="none" w:sz="0" w:space="0" w:color="auto"/>
                <w:left w:val="none" w:sz="0" w:space="0" w:color="auto"/>
                <w:bottom w:val="none" w:sz="0" w:space="0" w:color="auto"/>
                <w:right w:val="none" w:sz="0" w:space="0" w:color="auto"/>
              </w:divBdr>
            </w:div>
          </w:divsChild>
        </w:div>
        <w:div w:id="593979928">
          <w:marLeft w:val="0"/>
          <w:marRight w:val="0"/>
          <w:marTop w:val="0"/>
          <w:marBottom w:val="0"/>
          <w:divBdr>
            <w:top w:val="none" w:sz="0" w:space="0" w:color="auto"/>
            <w:left w:val="none" w:sz="0" w:space="0" w:color="auto"/>
            <w:bottom w:val="none" w:sz="0" w:space="0" w:color="auto"/>
            <w:right w:val="none" w:sz="0" w:space="0" w:color="auto"/>
          </w:divBdr>
          <w:divsChild>
            <w:div w:id="969899705">
              <w:marLeft w:val="0"/>
              <w:marRight w:val="0"/>
              <w:marTop w:val="0"/>
              <w:marBottom w:val="0"/>
              <w:divBdr>
                <w:top w:val="none" w:sz="0" w:space="0" w:color="auto"/>
                <w:left w:val="none" w:sz="0" w:space="0" w:color="auto"/>
                <w:bottom w:val="none" w:sz="0" w:space="0" w:color="auto"/>
                <w:right w:val="none" w:sz="0" w:space="0" w:color="auto"/>
              </w:divBdr>
              <w:divsChild>
                <w:div w:id="3437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8800">
          <w:marLeft w:val="0"/>
          <w:marRight w:val="0"/>
          <w:marTop w:val="0"/>
          <w:marBottom w:val="0"/>
          <w:divBdr>
            <w:top w:val="none" w:sz="0" w:space="0" w:color="auto"/>
            <w:left w:val="none" w:sz="0" w:space="0" w:color="auto"/>
            <w:bottom w:val="none" w:sz="0" w:space="0" w:color="auto"/>
            <w:right w:val="none" w:sz="0" w:space="0" w:color="auto"/>
          </w:divBdr>
          <w:divsChild>
            <w:div w:id="708797703">
              <w:marLeft w:val="0"/>
              <w:marRight w:val="0"/>
              <w:marTop w:val="0"/>
              <w:marBottom w:val="0"/>
              <w:divBdr>
                <w:top w:val="none" w:sz="0" w:space="0" w:color="auto"/>
                <w:left w:val="none" w:sz="0" w:space="0" w:color="auto"/>
                <w:bottom w:val="none" w:sz="0" w:space="0" w:color="auto"/>
                <w:right w:val="none" w:sz="0" w:space="0" w:color="auto"/>
              </w:divBdr>
              <w:divsChild>
                <w:div w:id="12914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6401">
      <w:bodyDiv w:val="1"/>
      <w:marLeft w:val="0"/>
      <w:marRight w:val="0"/>
      <w:marTop w:val="0"/>
      <w:marBottom w:val="0"/>
      <w:divBdr>
        <w:top w:val="none" w:sz="0" w:space="0" w:color="auto"/>
        <w:left w:val="none" w:sz="0" w:space="0" w:color="auto"/>
        <w:bottom w:val="none" w:sz="0" w:space="0" w:color="auto"/>
        <w:right w:val="none" w:sz="0" w:space="0" w:color="auto"/>
      </w:divBdr>
      <w:divsChild>
        <w:div w:id="1913929950">
          <w:marLeft w:val="0"/>
          <w:marRight w:val="0"/>
          <w:marTop w:val="0"/>
          <w:marBottom w:val="0"/>
          <w:divBdr>
            <w:top w:val="none" w:sz="0" w:space="0" w:color="auto"/>
            <w:left w:val="none" w:sz="0" w:space="0" w:color="auto"/>
            <w:bottom w:val="none" w:sz="0" w:space="0" w:color="auto"/>
            <w:right w:val="none" w:sz="0" w:space="0" w:color="auto"/>
          </w:divBdr>
          <w:divsChild>
            <w:div w:id="1375808521">
              <w:marLeft w:val="0"/>
              <w:marRight w:val="0"/>
              <w:marTop w:val="0"/>
              <w:marBottom w:val="0"/>
              <w:divBdr>
                <w:top w:val="none" w:sz="0" w:space="0" w:color="auto"/>
                <w:left w:val="none" w:sz="0" w:space="0" w:color="auto"/>
                <w:bottom w:val="none" w:sz="0" w:space="0" w:color="auto"/>
                <w:right w:val="none" w:sz="0" w:space="0" w:color="auto"/>
              </w:divBdr>
            </w:div>
            <w:div w:id="1415010617">
              <w:marLeft w:val="0"/>
              <w:marRight w:val="0"/>
              <w:marTop w:val="0"/>
              <w:marBottom w:val="0"/>
              <w:divBdr>
                <w:top w:val="none" w:sz="0" w:space="0" w:color="auto"/>
                <w:left w:val="none" w:sz="0" w:space="0" w:color="auto"/>
                <w:bottom w:val="none" w:sz="0" w:space="0" w:color="auto"/>
                <w:right w:val="none" w:sz="0" w:space="0" w:color="auto"/>
              </w:divBdr>
              <w:divsChild>
                <w:div w:id="77797129">
                  <w:marLeft w:val="0"/>
                  <w:marRight w:val="0"/>
                  <w:marTop w:val="0"/>
                  <w:marBottom w:val="0"/>
                  <w:divBdr>
                    <w:top w:val="none" w:sz="0" w:space="0" w:color="auto"/>
                    <w:left w:val="none" w:sz="0" w:space="0" w:color="auto"/>
                    <w:bottom w:val="none" w:sz="0" w:space="0" w:color="auto"/>
                    <w:right w:val="none" w:sz="0" w:space="0" w:color="auto"/>
                  </w:divBdr>
                  <w:divsChild>
                    <w:div w:id="1768312237">
                      <w:blockQuote w:val="1"/>
                      <w:marLeft w:val="0"/>
                      <w:marRight w:val="0"/>
                      <w:marTop w:val="0"/>
                      <w:marBottom w:val="0"/>
                      <w:divBdr>
                        <w:top w:val="none" w:sz="0" w:space="0" w:color="auto"/>
                        <w:left w:val="none" w:sz="0" w:space="0" w:color="auto"/>
                        <w:bottom w:val="none" w:sz="0" w:space="0" w:color="auto"/>
                        <w:right w:val="none" w:sz="0" w:space="0" w:color="auto"/>
                      </w:divBdr>
                      <w:divsChild>
                        <w:div w:id="1813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0046">
          <w:marLeft w:val="0"/>
          <w:marRight w:val="0"/>
          <w:marTop w:val="0"/>
          <w:marBottom w:val="0"/>
          <w:divBdr>
            <w:top w:val="none" w:sz="0" w:space="0" w:color="auto"/>
            <w:left w:val="none" w:sz="0" w:space="0" w:color="auto"/>
            <w:bottom w:val="none" w:sz="0" w:space="0" w:color="auto"/>
            <w:right w:val="none" w:sz="0" w:space="0" w:color="auto"/>
          </w:divBdr>
          <w:divsChild>
            <w:div w:id="564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641">
      <w:bodyDiv w:val="1"/>
      <w:marLeft w:val="0"/>
      <w:marRight w:val="0"/>
      <w:marTop w:val="0"/>
      <w:marBottom w:val="0"/>
      <w:divBdr>
        <w:top w:val="none" w:sz="0" w:space="0" w:color="auto"/>
        <w:left w:val="none" w:sz="0" w:space="0" w:color="auto"/>
        <w:bottom w:val="none" w:sz="0" w:space="0" w:color="auto"/>
        <w:right w:val="none" w:sz="0" w:space="0" w:color="auto"/>
      </w:divBdr>
      <w:divsChild>
        <w:div w:id="173149415">
          <w:marLeft w:val="0"/>
          <w:marRight w:val="0"/>
          <w:marTop w:val="0"/>
          <w:marBottom w:val="0"/>
          <w:divBdr>
            <w:top w:val="none" w:sz="0" w:space="0" w:color="auto"/>
            <w:left w:val="none" w:sz="0" w:space="0" w:color="auto"/>
            <w:bottom w:val="none" w:sz="0" w:space="0" w:color="auto"/>
            <w:right w:val="none" w:sz="0" w:space="0" w:color="auto"/>
          </w:divBdr>
        </w:div>
        <w:div w:id="2023121289">
          <w:marLeft w:val="0"/>
          <w:marRight w:val="0"/>
          <w:marTop w:val="0"/>
          <w:marBottom w:val="0"/>
          <w:divBdr>
            <w:top w:val="none" w:sz="0" w:space="0" w:color="auto"/>
            <w:left w:val="none" w:sz="0" w:space="0" w:color="auto"/>
            <w:bottom w:val="none" w:sz="0" w:space="0" w:color="auto"/>
            <w:right w:val="none" w:sz="0" w:space="0" w:color="auto"/>
          </w:divBdr>
          <w:divsChild>
            <w:div w:id="1979802360">
              <w:marLeft w:val="0"/>
              <w:marRight w:val="0"/>
              <w:marTop w:val="0"/>
              <w:marBottom w:val="0"/>
              <w:divBdr>
                <w:top w:val="none" w:sz="0" w:space="0" w:color="auto"/>
                <w:left w:val="none" w:sz="0" w:space="0" w:color="auto"/>
                <w:bottom w:val="none" w:sz="0" w:space="0" w:color="auto"/>
                <w:right w:val="none" w:sz="0" w:space="0" w:color="auto"/>
              </w:divBdr>
            </w:div>
          </w:divsChild>
        </w:div>
        <w:div w:id="1387489899">
          <w:marLeft w:val="0"/>
          <w:marRight w:val="0"/>
          <w:marTop w:val="0"/>
          <w:marBottom w:val="0"/>
          <w:divBdr>
            <w:top w:val="none" w:sz="0" w:space="0" w:color="auto"/>
            <w:left w:val="none" w:sz="0" w:space="0" w:color="auto"/>
            <w:bottom w:val="none" w:sz="0" w:space="0" w:color="auto"/>
            <w:right w:val="none" w:sz="0" w:space="0" w:color="auto"/>
          </w:divBdr>
          <w:divsChild>
            <w:div w:id="2004048831">
              <w:marLeft w:val="0"/>
              <w:marRight w:val="0"/>
              <w:marTop w:val="0"/>
              <w:marBottom w:val="0"/>
              <w:divBdr>
                <w:top w:val="none" w:sz="0" w:space="0" w:color="auto"/>
                <w:left w:val="none" w:sz="0" w:space="0" w:color="auto"/>
                <w:bottom w:val="none" w:sz="0" w:space="0" w:color="auto"/>
                <w:right w:val="none" w:sz="0" w:space="0" w:color="auto"/>
              </w:divBdr>
            </w:div>
          </w:divsChild>
        </w:div>
        <w:div w:id="1884978133">
          <w:marLeft w:val="0"/>
          <w:marRight w:val="0"/>
          <w:marTop w:val="0"/>
          <w:marBottom w:val="0"/>
          <w:divBdr>
            <w:top w:val="none" w:sz="0" w:space="0" w:color="auto"/>
            <w:left w:val="none" w:sz="0" w:space="0" w:color="auto"/>
            <w:bottom w:val="none" w:sz="0" w:space="0" w:color="auto"/>
            <w:right w:val="none" w:sz="0" w:space="0" w:color="auto"/>
          </w:divBdr>
          <w:divsChild>
            <w:div w:id="644696749">
              <w:marLeft w:val="0"/>
              <w:marRight w:val="0"/>
              <w:marTop w:val="0"/>
              <w:marBottom w:val="0"/>
              <w:divBdr>
                <w:top w:val="none" w:sz="0" w:space="0" w:color="auto"/>
                <w:left w:val="none" w:sz="0" w:space="0" w:color="auto"/>
                <w:bottom w:val="none" w:sz="0" w:space="0" w:color="auto"/>
                <w:right w:val="none" w:sz="0" w:space="0" w:color="auto"/>
              </w:divBdr>
            </w:div>
          </w:divsChild>
        </w:div>
        <w:div w:id="1366057035">
          <w:marLeft w:val="0"/>
          <w:marRight w:val="0"/>
          <w:marTop w:val="0"/>
          <w:marBottom w:val="0"/>
          <w:divBdr>
            <w:top w:val="none" w:sz="0" w:space="0" w:color="auto"/>
            <w:left w:val="none" w:sz="0" w:space="0" w:color="auto"/>
            <w:bottom w:val="none" w:sz="0" w:space="0" w:color="auto"/>
            <w:right w:val="none" w:sz="0" w:space="0" w:color="auto"/>
          </w:divBdr>
          <w:divsChild>
            <w:div w:id="1170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097">
      <w:bodyDiv w:val="1"/>
      <w:marLeft w:val="0"/>
      <w:marRight w:val="0"/>
      <w:marTop w:val="0"/>
      <w:marBottom w:val="0"/>
      <w:divBdr>
        <w:top w:val="none" w:sz="0" w:space="0" w:color="auto"/>
        <w:left w:val="none" w:sz="0" w:space="0" w:color="auto"/>
        <w:bottom w:val="none" w:sz="0" w:space="0" w:color="auto"/>
        <w:right w:val="none" w:sz="0" w:space="0" w:color="auto"/>
      </w:divBdr>
      <w:divsChild>
        <w:div w:id="1669137023">
          <w:marLeft w:val="0"/>
          <w:marRight w:val="0"/>
          <w:marTop w:val="0"/>
          <w:marBottom w:val="0"/>
          <w:divBdr>
            <w:top w:val="none" w:sz="0" w:space="0" w:color="auto"/>
            <w:left w:val="none" w:sz="0" w:space="0" w:color="auto"/>
            <w:bottom w:val="none" w:sz="0" w:space="0" w:color="auto"/>
            <w:right w:val="none" w:sz="0" w:space="0" w:color="auto"/>
          </w:divBdr>
          <w:divsChild>
            <w:div w:id="2022585430">
              <w:marLeft w:val="0"/>
              <w:marRight w:val="0"/>
              <w:marTop w:val="0"/>
              <w:marBottom w:val="0"/>
              <w:divBdr>
                <w:top w:val="none" w:sz="0" w:space="0" w:color="auto"/>
                <w:left w:val="none" w:sz="0" w:space="0" w:color="auto"/>
                <w:bottom w:val="none" w:sz="0" w:space="0" w:color="auto"/>
                <w:right w:val="none" w:sz="0" w:space="0" w:color="auto"/>
              </w:divBdr>
            </w:div>
          </w:divsChild>
        </w:div>
        <w:div w:id="258097909">
          <w:marLeft w:val="0"/>
          <w:marRight w:val="0"/>
          <w:marTop w:val="0"/>
          <w:marBottom w:val="0"/>
          <w:divBdr>
            <w:top w:val="none" w:sz="0" w:space="0" w:color="auto"/>
            <w:left w:val="none" w:sz="0" w:space="0" w:color="auto"/>
            <w:bottom w:val="none" w:sz="0" w:space="0" w:color="auto"/>
            <w:right w:val="none" w:sz="0" w:space="0" w:color="auto"/>
          </w:divBdr>
          <w:divsChild>
            <w:div w:id="966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40201">
      <w:bodyDiv w:val="1"/>
      <w:marLeft w:val="0"/>
      <w:marRight w:val="0"/>
      <w:marTop w:val="0"/>
      <w:marBottom w:val="0"/>
      <w:divBdr>
        <w:top w:val="none" w:sz="0" w:space="0" w:color="auto"/>
        <w:left w:val="none" w:sz="0" w:space="0" w:color="auto"/>
        <w:bottom w:val="none" w:sz="0" w:space="0" w:color="auto"/>
        <w:right w:val="none" w:sz="0" w:space="0" w:color="auto"/>
      </w:divBdr>
      <w:divsChild>
        <w:div w:id="1931430412">
          <w:marLeft w:val="0"/>
          <w:marRight w:val="0"/>
          <w:marTop w:val="0"/>
          <w:marBottom w:val="0"/>
          <w:divBdr>
            <w:top w:val="none" w:sz="0" w:space="0" w:color="auto"/>
            <w:left w:val="none" w:sz="0" w:space="0" w:color="auto"/>
            <w:bottom w:val="none" w:sz="0" w:space="0" w:color="auto"/>
            <w:right w:val="none" w:sz="0" w:space="0" w:color="auto"/>
          </w:divBdr>
          <w:divsChild>
            <w:div w:id="504710118">
              <w:marLeft w:val="0"/>
              <w:marRight w:val="0"/>
              <w:marTop w:val="0"/>
              <w:marBottom w:val="0"/>
              <w:divBdr>
                <w:top w:val="none" w:sz="0" w:space="0" w:color="auto"/>
                <w:left w:val="none" w:sz="0" w:space="0" w:color="auto"/>
                <w:bottom w:val="none" w:sz="0" w:space="0" w:color="auto"/>
                <w:right w:val="none" w:sz="0" w:space="0" w:color="auto"/>
              </w:divBdr>
            </w:div>
          </w:divsChild>
        </w:div>
        <w:div w:id="687484622">
          <w:marLeft w:val="0"/>
          <w:marRight w:val="0"/>
          <w:marTop w:val="0"/>
          <w:marBottom w:val="0"/>
          <w:divBdr>
            <w:top w:val="none" w:sz="0" w:space="0" w:color="auto"/>
            <w:left w:val="none" w:sz="0" w:space="0" w:color="auto"/>
            <w:bottom w:val="none" w:sz="0" w:space="0" w:color="auto"/>
            <w:right w:val="none" w:sz="0" w:space="0" w:color="auto"/>
          </w:divBdr>
          <w:divsChild>
            <w:div w:id="1060635002">
              <w:marLeft w:val="0"/>
              <w:marRight w:val="0"/>
              <w:marTop w:val="0"/>
              <w:marBottom w:val="0"/>
              <w:divBdr>
                <w:top w:val="none" w:sz="0" w:space="0" w:color="auto"/>
                <w:left w:val="none" w:sz="0" w:space="0" w:color="auto"/>
                <w:bottom w:val="none" w:sz="0" w:space="0" w:color="auto"/>
                <w:right w:val="none" w:sz="0" w:space="0" w:color="auto"/>
              </w:divBdr>
              <w:divsChild>
                <w:div w:id="10455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2732">
          <w:marLeft w:val="0"/>
          <w:marRight w:val="0"/>
          <w:marTop w:val="0"/>
          <w:marBottom w:val="0"/>
          <w:divBdr>
            <w:top w:val="none" w:sz="0" w:space="0" w:color="auto"/>
            <w:left w:val="none" w:sz="0" w:space="0" w:color="auto"/>
            <w:bottom w:val="none" w:sz="0" w:space="0" w:color="auto"/>
            <w:right w:val="none" w:sz="0" w:space="0" w:color="auto"/>
          </w:divBdr>
          <w:divsChild>
            <w:div w:id="1582638298">
              <w:marLeft w:val="0"/>
              <w:marRight w:val="0"/>
              <w:marTop w:val="0"/>
              <w:marBottom w:val="0"/>
              <w:divBdr>
                <w:top w:val="none" w:sz="0" w:space="0" w:color="auto"/>
                <w:left w:val="none" w:sz="0" w:space="0" w:color="auto"/>
                <w:bottom w:val="none" w:sz="0" w:space="0" w:color="auto"/>
                <w:right w:val="none" w:sz="0" w:space="0" w:color="auto"/>
              </w:divBdr>
              <w:divsChild>
                <w:div w:id="421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723807">
      <w:bodyDiv w:val="1"/>
      <w:marLeft w:val="0"/>
      <w:marRight w:val="0"/>
      <w:marTop w:val="0"/>
      <w:marBottom w:val="0"/>
      <w:divBdr>
        <w:top w:val="none" w:sz="0" w:space="0" w:color="auto"/>
        <w:left w:val="none" w:sz="0" w:space="0" w:color="auto"/>
        <w:bottom w:val="none" w:sz="0" w:space="0" w:color="auto"/>
        <w:right w:val="none" w:sz="0" w:space="0" w:color="auto"/>
      </w:divBdr>
      <w:divsChild>
        <w:div w:id="1592547082">
          <w:marLeft w:val="0"/>
          <w:marRight w:val="0"/>
          <w:marTop w:val="0"/>
          <w:marBottom w:val="0"/>
          <w:divBdr>
            <w:top w:val="none" w:sz="0" w:space="0" w:color="auto"/>
            <w:left w:val="none" w:sz="0" w:space="0" w:color="auto"/>
            <w:bottom w:val="none" w:sz="0" w:space="0" w:color="auto"/>
            <w:right w:val="none" w:sz="0" w:space="0" w:color="auto"/>
          </w:divBdr>
        </w:div>
        <w:div w:id="1274745783">
          <w:marLeft w:val="0"/>
          <w:marRight w:val="0"/>
          <w:marTop w:val="240"/>
          <w:marBottom w:val="0"/>
          <w:divBdr>
            <w:top w:val="none" w:sz="0" w:space="0" w:color="auto"/>
            <w:left w:val="none" w:sz="0" w:space="0" w:color="auto"/>
            <w:bottom w:val="none" w:sz="0" w:space="0" w:color="auto"/>
            <w:right w:val="none" w:sz="0" w:space="0" w:color="auto"/>
          </w:divBdr>
          <w:divsChild>
            <w:div w:id="389158145">
              <w:marLeft w:val="0"/>
              <w:marRight w:val="0"/>
              <w:marTop w:val="0"/>
              <w:marBottom w:val="0"/>
              <w:divBdr>
                <w:top w:val="none" w:sz="0" w:space="0" w:color="auto"/>
                <w:left w:val="none" w:sz="0" w:space="0" w:color="auto"/>
                <w:bottom w:val="none" w:sz="0" w:space="0" w:color="auto"/>
                <w:right w:val="none" w:sz="0" w:space="0" w:color="auto"/>
              </w:divBdr>
              <w:divsChild>
                <w:div w:id="1404451458">
                  <w:marLeft w:val="0"/>
                  <w:marRight w:val="0"/>
                  <w:marTop w:val="0"/>
                  <w:marBottom w:val="0"/>
                  <w:divBdr>
                    <w:top w:val="none" w:sz="0" w:space="0" w:color="auto"/>
                    <w:left w:val="none" w:sz="0" w:space="0" w:color="auto"/>
                    <w:bottom w:val="none" w:sz="0" w:space="0" w:color="auto"/>
                    <w:right w:val="none" w:sz="0" w:space="0" w:color="auto"/>
                  </w:divBdr>
                  <w:divsChild>
                    <w:div w:id="1261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282">
      <w:bodyDiv w:val="1"/>
      <w:marLeft w:val="0"/>
      <w:marRight w:val="0"/>
      <w:marTop w:val="0"/>
      <w:marBottom w:val="0"/>
      <w:divBdr>
        <w:top w:val="none" w:sz="0" w:space="0" w:color="auto"/>
        <w:left w:val="none" w:sz="0" w:space="0" w:color="auto"/>
        <w:bottom w:val="none" w:sz="0" w:space="0" w:color="auto"/>
        <w:right w:val="none" w:sz="0" w:space="0" w:color="auto"/>
      </w:divBdr>
      <w:divsChild>
        <w:div w:id="896936183">
          <w:marLeft w:val="0"/>
          <w:marRight w:val="0"/>
          <w:marTop w:val="0"/>
          <w:marBottom w:val="0"/>
          <w:divBdr>
            <w:top w:val="none" w:sz="0" w:space="0" w:color="auto"/>
            <w:left w:val="none" w:sz="0" w:space="0" w:color="auto"/>
            <w:bottom w:val="none" w:sz="0" w:space="0" w:color="auto"/>
            <w:right w:val="none" w:sz="0" w:space="0" w:color="auto"/>
          </w:divBdr>
        </w:div>
        <w:div w:id="1287933934">
          <w:marLeft w:val="0"/>
          <w:marRight w:val="0"/>
          <w:marTop w:val="240"/>
          <w:marBottom w:val="0"/>
          <w:divBdr>
            <w:top w:val="none" w:sz="0" w:space="0" w:color="auto"/>
            <w:left w:val="none" w:sz="0" w:space="0" w:color="auto"/>
            <w:bottom w:val="none" w:sz="0" w:space="0" w:color="auto"/>
            <w:right w:val="none" w:sz="0" w:space="0" w:color="auto"/>
          </w:divBdr>
          <w:divsChild>
            <w:div w:id="1409156892">
              <w:marLeft w:val="0"/>
              <w:marRight w:val="0"/>
              <w:marTop w:val="0"/>
              <w:marBottom w:val="0"/>
              <w:divBdr>
                <w:top w:val="none" w:sz="0" w:space="0" w:color="auto"/>
                <w:left w:val="none" w:sz="0" w:space="0" w:color="auto"/>
                <w:bottom w:val="none" w:sz="0" w:space="0" w:color="auto"/>
                <w:right w:val="none" w:sz="0" w:space="0" w:color="auto"/>
              </w:divBdr>
              <w:divsChild>
                <w:div w:id="934627815">
                  <w:marLeft w:val="0"/>
                  <w:marRight w:val="0"/>
                  <w:marTop w:val="0"/>
                  <w:marBottom w:val="0"/>
                  <w:divBdr>
                    <w:top w:val="none" w:sz="0" w:space="0" w:color="auto"/>
                    <w:left w:val="none" w:sz="0" w:space="0" w:color="auto"/>
                    <w:bottom w:val="none" w:sz="0" w:space="0" w:color="auto"/>
                    <w:right w:val="none" w:sz="0" w:space="0" w:color="auto"/>
                  </w:divBdr>
                  <w:divsChild>
                    <w:div w:id="793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AppData\Roaming\Microsoft\Templates\Template%20-%20Episode%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2D3-CB14-48F6-AC02-A1AE2AC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Episode Notes</Template>
  <TotalTime>191</TotalTime>
  <Pages>13</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3</cp:revision>
  <cp:lastPrinted>2021-10-13T19:44:00Z</cp:lastPrinted>
  <dcterms:created xsi:type="dcterms:W3CDTF">2021-10-12T03:12:00Z</dcterms:created>
  <dcterms:modified xsi:type="dcterms:W3CDTF">2021-10-17T22:08:00Z</dcterms:modified>
</cp:coreProperties>
</file>